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3464B" w14:textId="77777777" w:rsidR="009613A3" w:rsidRDefault="009613A3" w:rsidP="009613A3">
      <w:pPr>
        <w:adjustRightInd w:val="0"/>
        <w:snapToGrid w:val="0"/>
        <w:spacing w:line="360" w:lineRule="auto"/>
        <w:jc w:val="center"/>
        <w:rPr>
          <w:rFonts w:ascii="宋体" w:hAnsi="宋体" w:cs="宋体" w:hint="eastAsia"/>
          <w:b/>
          <w:snapToGrid/>
          <w:color w:val="000000" w:themeColor="text1"/>
          <w:kern w:val="44"/>
          <w:sz w:val="32"/>
        </w:rPr>
      </w:pPr>
      <w:r>
        <w:rPr>
          <w:rFonts w:ascii="宋体" w:hAnsi="宋体" w:cs="宋体" w:hint="eastAsia"/>
          <w:b/>
          <w:snapToGrid/>
          <w:color w:val="000000" w:themeColor="text1"/>
          <w:kern w:val="44"/>
          <w:sz w:val="32"/>
        </w:rPr>
        <w:t>浙江大学医学院附属儿童医院</w:t>
      </w:r>
    </w:p>
    <w:p w14:paraId="1888F4E2" w14:textId="57A3FD8F" w:rsidR="006953FE" w:rsidRPr="009613A3" w:rsidRDefault="00B60EF4" w:rsidP="009613A3">
      <w:pPr>
        <w:adjustRightInd w:val="0"/>
        <w:snapToGrid w:val="0"/>
        <w:spacing w:line="360" w:lineRule="auto"/>
        <w:jc w:val="center"/>
        <w:rPr>
          <w:rFonts w:ascii="宋体" w:hAnsi="宋体" w:cs="宋体" w:hint="eastAsia"/>
          <w:b/>
          <w:snapToGrid/>
          <w:color w:val="000000" w:themeColor="text1"/>
          <w:kern w:val="44"/>
          <w:sz w:val="32"/>
        </w:rPr>
      </w:pPr>
      <w:r>
        <w:rPr>
          <w:rFonts w:ascii="宋体" w:hAnsi="宋体" w:cs="宋体" w:hint="eastAsia"/>
          <w:b/>
          <w:snapToGrid/>
          <w:kern w:val="44"/>
          <w:sz w:val="32"/>
        </w:rPr>
        <w:t>制剂室</w:t>
      </w:r>
      <w:r w:rsidR="007808FA">
        <w:rPr>
          <w:rFonts w:ascii="宋体" w:hAnsi="宋体" w:cs="宋体" w:hint="eastAsia"/>
          <w:b/>
          <w:snapToGrid/>
          <w:kern w:val="44"/>
          <w:sz w:val="32"/>
        </w:rPr>
        <w:t>工程</w:t>
      </w:r>
      <w:r>
        <w:rPr>
          <w:rFonts w:ascii="宋体" w:hAnsi="宋体" w:cs="宋体" w:hint="eastAsia"/>
          <w:b/>
          <w:snapToGrid/>
          <w:kern w:val="44"/>
          <w:sz w:val="32"/>
        </w:rPr>
        <w:t>招标代理</w:t>
      </w:r>
      <w:r w:rsidR="000B38AF" w:rsidRPr="00757746">
        <w:rPr>
          <w:rFonts w:ascii="宋体" w:hAnsi="宋体" w:cs="宋体" w:hint="eastAsia"/>
          <w:b/>
          <w:snapToGrid/>
          <w:kern w:val="44"/>
          <w:sz w:val="32"/>
        </w:rPr>
        <w:t>采购需求</w:t>
      </w:r>
    </w:p>
    <w:p w14:paraId="59274503" w14:textId="69FE0D16" w:rsidR="006953FE" w:rsidRPr="00757746" w:rsidRDefault="006953FE" w:rsidP="006953FE">
      <w:pPr>
        <w:adjustRightInd w:val="0"/>
        <w:snapToGrid w:val="0"/>
        <w:spacing w:line="360" w:lineRule="auto"/>
        <w:ind w:firstLineChars="200" w:firstLine="422"/>
        <w:rPr>
          <w:rFonts w:ascii="宋体" w:hAnsi="宋体" w:cs="宋体" w:hint="eastAsia"/>
          <w:b/>
          <w:bCs/>
          <w:szCs w:val="21"/>
          <w:shd w:val="clear" w:color="auto" w:fill="FFFFFF"/>
        </w:rPr>
      </w:pPr>
      <w:r w:rsidRPr="00757746">
        <w:rPr>
          <w:rFonts w:ascii="宋体" w:hAnsi="宋体" w:cs="宋体" w:hint="eastAsia"/>
          <w:b/>
          <w:bCs/>
          <w:szCs w:val="21"/>
          <w:shd w:val="clear" w:color="auto" w:fill="FFFFFF"/>
        </w:rPr>
        <w:t>一、</w:t>
      </w:r>
      <w:r w:rsidR="00235074">
        <w:rPr>
          <w:rFonts w:ascii="宋体" w:hAnsi="宋体" w:cs="宋体" w:hint="eastAsia"/>
          <w:b/>
          <w:bCs/>
          <w:szCs w:val="21"/>
          <w:shd w:val="clear" w:color="auto" w:fill="FFFFFF"/>
        </w:rPr>
        <w:t>项目概要</w:t>
      </w:r>
    </w:p>
    <w:p w14:paraId="4F7AEEB9" w14:textId="50CAD83F" w:rsidR="00B60EF4" w:rsidRPr="00FB5338" w:rsidRDefault="00B60EF4" w:rsidP="00B60EF4">
      <w:pPr>
        <w:snapToGrid w:val="0"/>
        <w:spacing w:line="360" w:lineRule="auto"/>
        <w:ind w:firstLineChars="200" w:firstLine="420"/>
        <w:rPr>
          <w:rFonts w:ascii="宋体" w:hAnsi="宋体" w:cs="宋体" w:hint="eastAsia"/>
          <w:szCs w:val="21"/>
        </w:rPr>
      </w:pPr>
      <w:r w:rsidRPr="00FB5338">
        <w:rPr>
          <w:rFonts w:ascii="宋体" w:hAnsi="宋体" w:cs="宋体" w:hint="eastAsia"/>
          <w:szCs w:val="21"/>
        </w:rPr>
        <w:t>本次采购的服务浙江大学医学院附属儿童医院制剂室</w:t>
      </w:r>
      <w:r w:rsidR="007808FA" w:rsidRPr="00FB5338">
        <w:rPr>
          <w:rFonts w:ascii="宋体" w:hAnsi="宋体" w:cs="宋体" w:hint="eastAsia"/>
          <w:szCs w:val="21"/>
        </w:rPr>
        <w:t>工程</w:t>
      </w:r>
      <w:r w:rsidRPr="00FB5338">
        <w:rPr>
          <w:rFonts w:ascii="宋体" w:hAnsi="宋体" w:cs="宋体" w:hint="eastAsia"/>
          <w:szCs w:val="21"/>
        </w:rPr>
        <w:t>建设全过程招标代理服务，含招标文件、工程量清单、设备清单及预算、招标控制价编制及相关专题（包括市场调研）等全部工作内容。代理范围包括但不限于：（1）项目监理、图审单位、各类验收检测服务单位等所有服务类项目招标；（2）施工总承包等所有工程类项目招标；(3)弱电、消防设备、</w:t>
      </w:r>
      <w:r w:rsidR="007808FA" w:rsidRPr="00FB5338">
        <w:rPr>
          <w:rFonts w:ascii="宋体" w:hAnsi="宋体" w:cs="宋体" w:hint="eastAsia"/>
          <w:szCs w:val="21"/>
        </w:rPr>
        <w:t>制冷机组、空压机组、</w:t>
      </w:r>
      <w:r w:rsidRPr="00FB5338">
        <w:rPr>
          <w:rFonts w:ascii="宋体" w:hAnsi="宋体" w:cs="宋体" w:hint="eastAsia"/>
          <w:szCs w:val="21"/>
        </w:rPr>
        <w:t>纯水机组等货物类采购项目。本次</w:t>
      </w:r>
      <w:r w:rsidR="007808FA" w:rsidRPr="00FB5338">
        <w:rPr>
          <w:rFonts w:ascii="宋体" w:hAnsi="宋体" w:cs="宋体" w:hint="eastAsia"/>
          <w:szCs w:val="21"/>
        </w:rPr>
        <w:t>采购</w:t>
      </w:r>
      <w:r w:rsidRPr="00FB5338">
        <w:rPr>
          <w:rFonts w:ascii="宋体" w:hAnsi="宋体" w:cs="宋体" w:hint="eastAsia"/>
          <w:szCs w:val="21"/>
        </w:rPr>
        <w:t>涉及项目的建筑安装工程概算1375万元。</w:t>
      </w:r>
    </w:p>
    <w:p w14:paraId="3595E5F6" w14:textId="256EAF38" w:rsidR="00B60EF4" w:rsidRPr="00B60EF4" w:rsidRDefault="00235074" w:rsidP="00B60EF4">
      <w:pPr>
        <w:snapToGrid w:val="0"/>
        <w:spacing w:line="360" w:lineRule="auto"/>
        <w:ind w:firstLineChars="200" w:firstLine="422"/>
        <w:rPr>
          <w:rFonts w:ascii="宋体" w:hAnsi="宋体" w:cs="宋体" w:hint="eastAsia"/>
          <w:b/>
          <w:bCs/>
          <w:szCs w:val="21"/>
        </w:rPr>
      </w:pPr>
      <w:r w:rsidRPr="00235074">
        <w:rPr>
          <w:rFonts w:ascii="宋体" w:hAnsi="宋体" w:cs="宋体" w:hint="eastAsia"/>
          <w:b/>
          <w:bCs/>
          <w:szCs w:val="21"/>
        </w:rPr>
        <w:t>二、服务内容</w:t>
      </w:r>
    </w:p>
    <w:p w14:paraId="1E7B54D1" w14:textId="20CFBD06"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主要工作内容如下</w:t>
      </w:r>
      <w:r w:rsidR="00235074">
        <w:rPr>
          <w:rFonts w:ascii="宋体" w:hAnsi="宋体" w:cs="宋体" w:hint="eastAsia"/>
          <w:szCs w:val="21"/>
        </w:rPr>
        <w:t>（</w:t>
      </w:r>
      <w:r w:rsidRPr="00B60EF4">
        <w:rPr>
          <w:rFonts w:ascii="宋体" w:hAnsi="宋体" w:cs="宋体" w:hint="eastAsia"/>
          <w:szCs w:val="21"/>
        </w:rPr>
        <w:t>但不限于以下工作</w:t>
      </w:r>
      <w:r w:rsidR="00235074">
        <w:rPr>
          <w:rFonts w:ascii="宋体" w:hAnsi="宋体" w:cs="宋体" w:hint="eastAsia"/>
          <w:szCs w:val="21"/>
        </w:rPr>
        <w:t>）</w:t>
      </w:r>
      <w:r w:rsidRPr="00B60EF4">
        <w:rPr>
          <w:rFonts w:ascii="宋体" w:hAnsi="宋体" w:cs="宋体" w:hint="eastAsia"/>
          <w:szCs w:val="21"/>
        </w:rPr>
        <w:t>：</w:t>
      </w:r>
    </w:p>
    <w:p w14:paraId="7C71952A" w14:textId="16B93D08"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（1）了解建设单位的需求，以及项目范围、功能要求、工期、投资概算等，与</w:t>
      </w:r>
      <w:r w:rsidR="00C31BC5">
        <w:rPr>
          <w:rFonts w:ascii="宋体" w:hAnsi="宋体" w:cs="宋体" w:hint="eastAsia"/>
          <w:szCs w:val="21"/>
        </w:rPr>
        <w:t>招标</w:t>
      </w:r>
      <w:r w:rsidRPr="00B60EF4">
        <w:rPr>
          <w:rFonts w:ascii="宋体" w:hAnsi="宋体" w:cs="宋体" w:hint="eastAsia"/>
          <w:szCs w:val="21"/>
        </w:rPr>
        <w:t>人共同研究。负责制定、调整本项目招标规划及招标进度计划，并报委托人审定；</w:t>
      </w:r>
    </w:p>
    <w:p w14:paraId="2C7468CA" w14:textId="34EC81F0"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（2）根据工程建设进度需要，每个单项招标启动前负责招标方案</w:t>
      </w:r>
      <w:r w:rsidR="009613A3">
        <w:rPr>
          <w:rFonts w:ascii="宋体" w:hAnsi="宋体" w:cs="宋体" w:hint="eastAsia"/>
          <w:szCs w:val="21"/>
        </w:rPr>
        <w:t>和清单</w:t>
      </w:r>
      <w:r w:rsidRPr="00B60EF4">
        <w:rPr>
          <w:rFonts w:ascii="宋体" w:hAnsi="宋体" w:cs="宋体" w:hint="eastAsia"/>
          <w:szCs w:val="21"/>
        </w:rPr>
        <w:t>的编制，并负责向委托人汇报。</w:t>
      </w:r>
    </w:p>
    <w:p w14:paraId="08E4E308"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（3）根据委托人提供的工程资料，按国家规定编制各阶段的工程预算。</w:t>
      </w:r>
    </w:p>
    <w:p w14:paraId="4FE64E9F"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（4）办理项目招标发包申请的一切手续，负责起草各标段涉及的招标申请报告及有关事项的落实；</w:t>
      </w:r>
    </w:p>
    <w:p w14:paraId="516303C0"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（5）根据工程建设进度需要及委托人要求起草招标公告，并报委托人及招标管理机构审定，核备后发布招标公告。</w:t>
      </w:r>
    </w:p>
    <w:p w14:paraId="5E93BC5B"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（6）编制各招标阶段的资格预审文件并报委托人及招标管理机构审定或核备；</w:t>
      </w:r>
    </w:p>
    <w:p w14:paraId="64ADE691"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（7）发售各标段的资格预审文件，负责或参与投标单位的资格预审或后审，协助委托人确定入围投标单位名单后，并招标管理机构审核或核备；</w:t>
      </w:r>
    </w:p>
    <w:p w14:paraId="7E733E03"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（8）根据招标公告要求，接受各投标单位的报名及登记工作。</w:t>
      </w:r>
    </w:p>
    <w:p w14:paraId="261EE42A"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9）根据工程建设进度需要，负责编制招标文件，编制工程量清单及计算书，编制预算或招标控制价，送招标人审核，完成报有关部门审定或核备工作，负责修改有关部门提出的审核意见；以上成果资料必须由本机构注册造价工程师或专业</w:t>
      </w:r>
      <w:proofErr w:type="gramStart"/>
      <w:r w:rsidRPr="00B60EF4">
        <w:rPr>
          <w:rFonts w:ascii="宋体" w:hAnsi="宋体" w:cs="宋体" w:hint="eastAsia"/>
          <w:szCs w:val="21"/>
        </w:rPr>
        <w:t>造价员</w:t>
      </w:r>
      <w:proofErr w:type="gramEnd"/>
      <w:r w:rsidRPr="00B60EF4">
        <w:rPr>
          <w:rFonts w:ascii="宋体" w:hAnsi="宋体" w:cs="宋体" w:hint="eastAsia"/>
          <w:szCs w:val="21"/>
        </w:rPr>
        <w:t>编制，本机构注册</w:t>
      </w:r>
      <w:proofErr w:type="gramStart"/>
      <w:r w:rsidRPr="00B60EF4">
        <w:rPr>
          <w:rFonts w:ascii="宋体" w:hAnsi="宋体" w:cs="宋体" w:hint="eastAsia"/>
          <w:szCs w:val="21"/>
        </w:rPr>
        <w:t>造价师</w:t>
      </w:r>
      <w:proofErr w:type="gramEnd"/>
      <w:r w:rsidRPr="00B60EF4">
        <w:rPr>
          <w:rFonts w:ascii="宋体" w:hAnsi="宋体" w:cs="宋体" w:hint="eastAsia"/>
          <w:szCs w:val="21"/>
        </w:rPr>
        <w:t>审核，相关人员应签字并加盖执业专用章。</w:t>
      </w:r>
    </w:p>
    <w:p w14:paraId="0A23E877"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（10）发售招标文件，组织招标人、投标人进行现场踏勘和答疑。</w:t>
      </w:r>
    </w:p>
    <w:p w14:paraId="1E99E277"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（11）整理、发布招标答疑纪要及补充文件。</w:t>
      </w:r>
    </w:p>
    <w:p w14:paraId="1091C2C7"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（12）负责组织开标、评标、询标、决</w:t>
      </w:r>
      <w:proofErr w:type="gramStart"/>
      <w:r w:rsidRPr="00B60EF4">
        <w:rPr>
          <w:rFonts w:ascii="宋体" w:hAnsi="宋体" w:cs="宋体" w:hint="eastAsia"/>
          <w:szCs w:val="21"/>
        </w:rPr>
        <w:t>标会议</w:t>
      </w:r>
      <w:proofErr w:type="gramEnd"/>
      <w:r w:rsidRPr="00B60EF4">
        <w:rPr>
          <w:rFonts w:ascii="宋体" w:hAnsi="宋体" w:cs="宋体" w:hint="eastAsia"/>
          <w:szCs w:val="21"/>
        </w:rPr>
        <w:t>的会务安排及有关事项的落实；</w:t>
      </w:r>
    </w:p>
    <w:p w14:paraId="42EA1413"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（13）协助评标委员会起草评标报告，向委托人报告评标结果；</w:t>
      </w:r>
    </w:p>
    <w:p w14:paraId="2910F731"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（14）协助招标人定标。根据委托人决</w:t>
      </w:r>
      <w:proofErr w:type="gramStart"/>
      <w:r w:rsidRPr="00B60EF4">
        <w:rPr>
          <w:rFonts w:ascii="宋体" w:hAnsi="宋体" w:cs="宋体" w:hint="eastAsia"/>
          <w:szCs w:val="21"/>
        </w:rPr>
        <w:t>标结果</w:t>
      </w:r>
      <w:proofErr w:type="gramEnd"/>
      <w:r w:rsidRPr="00B60EF4">
        <w:rPr>
          <w:rFonts w:ascii="宋体" w:hAnsi="宋体" w:cs="宋体" w:hint="eastAsia"/>
          <w:szCs w:val="21"/>
        </w:rPr>
        <w:t>报招标管理机构核准，发中标通知书；</w:t>
      </w:r>
    </w:p>
    <w:p w14:paraId="0AE7E7EC"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lastRenderedPageBreak/>
        <w:t>（15）负责起草询标纪要，由本机构注册</w:t>
      </w:r>
      <w:proofErr w:type="gramStart"/>
      <w:r w:rsidRPr="00B60EF4">
        <w:rPr>
          <w:rFonts w:ascii="宋体" w:hAnsi="宋体" w:cs="宋体" w:hint="eastAsia"/>
          <w:szCs w:val="21"/>
        </w:rPr>
        <w:t>造价师结合</w:t>
      </w:r>
      <w:proofErr w:type="gramEnd"/>
      <w:r w:rsidRPr="00B60EF4">
        <w:rPr>
          <w:rFonts w:ascii="宋体" w:hAnsi="宋体" w:cs="宋体" w:hint="eastAsia"/>
          <w:szCs w:val="21"/>
        </w:rPr>
        <w:t>中标候选人的商务标书提出相关合理化意见，负责询标会议的会务安排及有关事项的落实；</w:t>
      </w:r>
    </w:p>
    <w:p w14:paraId="7DB90965" w14:textId="596C4776"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（16）协助</w:t>
      </w:r>
      <w:r w:rsidR="00C31BC5">
        <w:rPr>
          <w:rFonts w:ascii="宋体" w:hAnsi="宋体" w:cs="宋体" w:hint="eastAsia"/>
          <w:szCs w:val="21"/>
        </w:rPr>
        <w:t>招标</w:t>
      </w:r>
      <w:r w:rsidRPr="00B60EF4">
        <w:rPr>
          <w:rFonts w:ascii="宋体" w:hAnsi="宋体" w:cs="宋体" w:hint="eastAsia"/>
          <w:szCs w:val="21"/>
        </w:rPr>
        <w:t>人办理招标办的相关手续和整理完成并递交招投标有关的资料。</w:t>
      </w:r>
    </w:p>
    <w:p w14:paraId="3EAA5E87"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（17）根据招投标文件起草合同，并协助招投标人进行合同签订。</w:t>
      </w:r>
    </w:p>
    <w:p w14:paraId="28F93E2E" w14:textId="77777777"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 xml:space="preserve">（18）负责收集、整理招标过程各类资料，编写每个标段招标情况报告(完整的招标成果资料)(涵盖整个招标过程各流程相关记录、资料及总结)并装订成册。 </w:t>
      </w:r>
    </w:p>
    <w:p w14:paraId="4687168A" w14:textId="7CD33C14" w:rsidR="00B60EF4" w:rsidRPr="00B60EF4" w:rsidRDefault="00B60EF4" w:rsidP="00B60EF4">
      <w:pPr>
        <w:snapToGrid w:val="0"/>
        <w:spacing w:line="360" w:lineRule="auto"/>
        <w:ind w:firstLineChars="200" w:firstLine="420"/>
        <w:rPr>
          <w:rFonts w:ascii="宋体" w:hAnsi="宋体" w:cs="宋体" w:hint="eastAsia"/>
          <w:szCs w:val="21"/>
        </w:rPr>
      </w:pPr>
      <w:r w:rsidRPr="00B60EF4">
        <w:rPr>
          <w:rFonts w:ascii="宋体" w:hAnsi="宋体" w:cs="宋体" w:hint="eastAsia"/>
          <w:szCs w:val="21"/>
        </w:rPr>
        <w:t>（19）与工程招标有关的其他事项。</w:t>
      </w:r>
    </w:p>
    <w:p w14:paraId="139E04EE" w14:textId="6788307C" w:rsidR="006953FE" w:rsidRPr="00235074" w:rsidRDefault="00235074" w:rsidP="006953FE">
      <w:pPr>
        <w:snapToGrid w:val="0"/>
        <w:spacing w:line="360" w:lineRule="auto"/>
        <w:ind w:firstLineChars="200" w:firstLine="422"/>
        <w:rPr>
          <w:rFonts w:ascii="宋体" w:hAnsi="宋体" w:cs="宋体" w:hint="eastAsia"/>
          <w:b/>
          <w:bCs/>
          <w:szCs w:val="21"/>
        </w:rPr>
      </w:pPr>
      <w:r w:rsidRPr="00235074">
        <w:rPr>
          <w:rFonts w:ascii="宋体" w:hAnsi="宋体" w:cs="宋体" w:hint="eastAsia"/>
          <w:b/>
          <w:bCs/>
          <w:szCs w:val="21"/>
        </w:rPr>
        <w:t>三、报价要求</w:t>
      </w:r>
    </w:p>
    <w:p w14:paraId="28AB01CA" w14:textId="4CA4B59E" w:rsidR="00235074" w:rsidRPr="00235074" w:rsidRDefault="00235074" w:rsidP="00235074">
      <w:pPr>
        <w:adjustRightInd w:val="0"/>
        <w:snapToGrid w:val="0"/>
        <w:spacing w:line="360" w:lineRule="auto"/>
        <w:ind w:firstLineChars="200" w:firstLine="420"/>
        <w:rPr>
          <w:rFonts w:ascii="宋体" w:hAnsi="宋体" w:cs="宋体" w:hint="eastAsia"/>
          <w:szCs w:val="21"/>
          <w:shd w:val="clear" w:color="auto" w:fill="FFFFFF"/>
        </w:rPr>
      </w:pPr>
      <w:r>
        <w:rPr>
          <w:rFonts w:ascii="宋体" w:hAnsi="宋体" w:cs="宋体" w:hint="eastAsia"/>
          <w:szCs w:val="21"/>
          <w:shd w:val="clear" w:color="auto" w:fill="FFFFFF"/>
        </w:rPr>
        <w:t>本次</w:t>
      </w:r>
      <w:r w:rsidRPr="00235074">
        <w:rPr>
          <w:rFonts w:ascii="宋体" w:hAnsi="宋体" w:cs="宋体" w:hint="eastAsia"/>
          <w:szCs w:val="21"/>
          <w:shd w:val="clear" w:color="auto" w:fill="FFFFFF"/>
        </w:rPr>
        <w:t>报价为</w:t>
      </w:r>
      <w:r w:rsidR="00D70DAA">
        <w:rPr>
          <w:rFonts w:ascii="宋体" w:hAnsi="宋体" w:cs="宋体" w:hint="eastAsia"/>
          <w:szCs w:val="21"/>
          <w:shd w:val="clear" w:color="auto" w:fill="FFFFFF"/>
        </w:rPr>
        <w:t>供应商</w:t>
      </w:r>
      <w:r w:rsidRPr="00235074">
        <w:rPr>
          <w:rFonts w:ascii="宋体" w:hAnsi="宋体" w:cs="宋体" w:hint="eastAsia"/>
          <w:szCs w:val="21"/>
          <w:shd w:val="clear" w:color="auto" w:fill="FFFFFF"/>
        </w:rPr>
        <w:t>的</w:t>
      </w:r>
      <w:r w:rsidR="00D70DAA">
        <w:rPr>
          <w:rFonts w:ascii="宋体" w:hAnsi="宋体" w:cs="宋体" w:hint="eastAsia"/>
          <w:szCs w:val="21"/>
          <w:shd w:val="clear" w:color="auto" w:fill="FFFFFF"/>
        </w:rPr>
        <w:t>报价单</w:t>
      </w:r>
      <w:r w:rsidRPr="00235074">
        <w:rPr>
          <w:rFonts w:ascii="宋体" w:hAnsi="宋体" w:cs="宋体" w:hint="eastAsia"/>
          <w:szCs w:val="21"/>
          <w:shd w:val="clear" w:color="auto" w:fill="FFFFFF"/>
        </w:rPr>
        <w:t>中提出的各项支付金额的总和，以人民币为结算货币，该费用除不含</w:t>
      </w:r>
      <w:r w:rsidRPr="009B2E53">
        <w:rPr>
          <w:rFonts w:ascii="宋体" w:hAnsi="宋体" w:cs="宋体" w:hint="eastAsia"/>
          <w:szCs w:val="21"/>
          <w:shd w:val="clear" w:color="auto" w:fill="FFFFFF"/>
        </w:rPr>
        <w:t>交易服务费</w:t>
      </w:r>
      <w:r w:rsidRPr="00235074">
        <w:rPr>
          <w:rFonts w:ascii="宋体" w:hAnsi="宋体" w:cs="宋体" w:hint="eastAsia"/>
          <w:szCs w:val="21"/>
          <w:shd w:val="clear" w:color="auto" w:fill="FFFFFF"/>
        </w:rPr>
        <w:t>外，完成本</w:t>
      </w:r>
      <w:r>
        <w:rPr>
          <w:rFonts w:ascii="宋体" w:hAnsi="宋体" w:cs="宋体" w:hint="eastAsia"/>
          <w:szCs w:val="21"/>
          <w:shd w:val="clear" w:color="auto" w:fill="FFFFFF"/>
        </w:rPr>
        <w:t>采购</w:t>
      </w:r>
      <w:r w:rsidRPr="00235074">
        <w:rPr>
          <w:rFonts w:ascii="宋体" w:hAnsi="宋体" w:cs="宋体" w:hint="eastAsia"/>
          <w:szCs w:val="21"/>
          <w:shd w:val="clear" w:color="auto" w:fill="FFFFFF"/>
        </w:rPr>
        <w:t>文件规定的工作内容所发生的一切费用均包含在该费用中（即建设工程涉及的服务类、施工类、货物类等全过程招标代理工作，含工程量清单及预算、招标控制价编制及相关专题(包括市场调研)等事宜所发生的一切费用）。包括受托单位的人员工资、设备的费用，交通费、通信费、招标文件印刷费，招标公告发布费用，组织投标人踏勘现场并答疑，组织开标、评标、定标，评标场租费，专家评审费以及协助合同签订等业务工作的费用，以及税费、管理、利润和为完成所有要求而可能产生的不可预见等所有费用。</w:t>
      </w:r>
    </w:p>
    <w:p w14:paraId="544BC471" w14:textId="77777777" w:rsidR="006012C6" w:rsidRDefault="00D70DAA" w:rsidP="006012C6">
      <w:pPr>
        <w:adjustRightInd w:val="0"/>
        <w:snapToGrid w:val="0"/>
        <w:spacing w:line="360" w:lineRule="auto"/>
        <w:ind w:firstLineChars="200" w:firstLine="420"/>
        <w:rPr>
          <w:rFonts w:ascii="宋体" w:hAnsi="宋体" w:cs="宋体" w:hint="eastAsia"/>
          <w:b/>
          <w:bCs/>
          <w:szCs w:val="21"/>
          <w:shd w:val="clear" w:color="auto" w:fill="FFFFFF"/>
        </w:rPr>
      </w:pPr>
      <w:r>
        <w:rPr>
          <w:rFonts w:ascii="宋体" w:hAnsi="宋体" w:cs="宋体" w:hint="eastAsia"/>
          <w:szCs w:val="21"/>
          <w:shd w:val="clear" w:color="auto" w:fill="FFFFFF"/>
        </w:rPr>
        <w:t>供应商</w:t>
      </w:r>
      <w:r w:rsidR="00235074" w:rsidRPr="00235074">
        <w:rPr>
          <w:rFonts w:ascii="宋体" w:hAnsi="宋体" w:cs="宋体" w:hint="eastAsia"/>
          <w:szCs w:val="21"/>
          <w:shd w:val="clear" w:color="auto" w:fill="FFFFFF"/>
        </w:rPr>
        <w:t>应先到工地踏勘以充分了解本项目足以影响报价的任何情况，任何因忽视或误解工地情况而导致的索赔或工期延长申请将不获批准。</w:t>
      </w:r>
    </w:p>
    <w:p w14:paraId="47B1F6CE" w14:textId="115609CA" w:rsidR="006012C6" w:rsidRPr="006012C6" w:rsidRDefault="006012C6" w:rsidP="006012C6">
      <w:pPr>
        <w:adjustRightInd w:val="0"/>
        <w:snapToGrid w:val="0"/>
        <w:spacing w:line="360" w:lineRule="auto"/>
        <w:ind w:firstLineChars="200" w:firstLine="422"/>
        <w:rPr>
          <w:rFonts w:ascii="宋体" w:hAnsi="宋体" w:cs="宋体" w:hint="eastAsia"/>
          <w:b/>
          <w:bCs/>
          <w:szCs w:val="21"/>
        </w:rPr>
      </w:pPr>
      <w:r>
        <w:rPr>
          <w:rFonts w:ascii="宋体" w:hAnsi="宋体" w:cs="宋体" w:hint="eastAsia"/>
          <w:b/>
          <w:bCs/>
          <w:szCs w:val="21"/>
          <w:shd w:val="clear" w:color="auto" w:fill="FFFFFF"/>
        </w:rPr>
        <w:t>四、</w:t>
      </w:r>
      <w:r w:rsidR="006953FE" w:rsidRPr="00757746">
        <w:rPr>
          <w:rFonts w:ascii="宋体" w:hAnsi="宋体" w:cs="宋体" w:hint="eastAsia"/>
          <w:b/>
          <w:bCs/>
          <w:szCs w:val="21"/>
        </w:rPr>
        <w:t>项目结算</w:t>
      </w:r>
    </w:p>
    <w:p w14:paraId="0C41BD81" w14:textId="1AFEBF7A" w:rsidR="00C31BC5" w:rsidRPr="00FB5338" w:rsidRDefault="00C31BC5" w:rsidP="00C31BC5">
      <w:pPr>
        <w:snapToGrid w:val="0"/>
        <w:spacing w:line="360" w:lineRule="auto"/>
        <w:ind w:firstLineChars="200" w:firstLine="420"/>
        <w:rPr>
          <w:rFonts w:ascii="宋体" w:hAnsi="宋体" w:cs="宋体" w:hint="eastAsia"/>
          <w:szCs w:val="21"/>
        </w:rPr>
      </w:pPr>
      <w:r w:rsidRPr="00FB5338">
        <w:rPr>
          <w:rFonts w:ascii="宋体" w:hAnsi="宋体" w:cs="宋体" w:hint="eastAsia"/>
          <w:szCs w:val="21"/>
        </w:rPr>
        <w:t>付款方式：</w:t>
      </w:r>
    </w:p>
    <w:p w14:paraId="75E4DD88" w14:textId="08785AD8" w:rsidR="006012C6" w:rsidRPr="00FB5338" w:rsidRDefault="006012C6" w:rsidP="006012C6">
      <w:pPr>
        <w:snapToGrid w:val="0"/>
        <w:spacing w:line="360" w:lineRule="auto"/>
        <w:ind w:firstLineChars="200" w:firstLine="420"/>
        <w:rPr>
          <w:rFonts w:ascii="宋体" w:hAnsi="宋体" w:cs="宋体" w:hint="eastAsia"/>
          <w:szCs w:val="21"/>
        </w:rPr>
      </w:pPr>
      <w:r w:rsidRPr="00FB5338">
        <w:rPr>
          <w:rFonts w:ascii="宋体" w:hAnsi="宋体" w:cs="宋体" w:hint="eastAsia"/>
          <w:szCs w:val="21"/>
        </w:rPr>
        <w:t>（1）完成设计招标，在中标通知书发出、协助委托人与设计中标人签订合同且合同备案成功并提交完整招标成果资料后支付合同总价的20%；</w:t>
      </w:r>
    </w:p>
    <w:p w14:paraId="68139600" w14:textId="77777777" w:rsidR="006012C6" w:rsidRPr="00FB5338" w:rsidRDefault="006012C6" w:rsidP="006012C6">
      <w:pPr>
        <w:snapToGrid w:val="0"/>
        <w:spacing w:line="360" w:lineRule="auto"/>
        <w:ind w:firstLineChars="200" w:firstLine="420"/>
        <w:rPr>
          <w:rFonts w:ascii="宋体" w:hAnsi="宋体" w:cs="宋体" w:hint="eastAsia"/>
          <w:szCs w:val="21"/>
        </w:rPr>
      </w:pPr>
      <w:r w:rsidRPr="00FB5338">
        <w:rPr>
          <w:rFonts w:ascii="宋体" w:hAnsi="宋体" w:cs="宋体" w:hint="eastAsia"/>
          <w:szCs w:val="21"/>
        </w:rPr>
        <w:t xml:space="preserve">（2）完成监理招标，在中标通知书发出、协助委托人与监理中标人签订合同且合同备案成功并提交完整招标成果资料后支付合同总价的10%； </w:t>
      </w:r>
    </w:p>
    <w:p w14:paraId="526E77E8" w14:textId="77777777" w:rsidR="006012C6" w:rsidRPr="00FB5338" w:rsidRDefault="006012C6" w:rsidP="006012C6">
      <w:pPr>
        <w:snapToGrid w:val="0"/>
        <w:spacing w:line="360" w:lineRule="auto"/>
        <w:ind w:firstLineChars="200" w:firstLine="420"/>
        <w:rPr>
          <w:rFonts w:ascii="宋体" w:hAnsi="宋体" w:cs="宋体" w:hint="eastAsia"/>
          <w:szCs w:val="21"/>
        </w:rPr>
      </w:pPr>
      <w:r w:rsidRPr="00FB5338">
        <w:rPr>
          <w:rFonts w:ascii="宋体" w:hAnsi="宋体" w:cs="宋体" w:hint="eastAsia"/>
          <w:szCs w:val="21"/>
        </w:rPr>
        <w:t xml:space="preserve">（3）完成施工总承包招标，在中标通知书发出、协助委托人与施工总承包中标人签订合同且合同备案成功并提交完整招标成果资料及工程量清单编制计算书后支付合同总价的40%； </w:t>
      </w:r>
    </w:p>
    <w:p w14:paraId="24C001A9" w14:textId="7041B418" w:rsidR="006012C6" w:rsidRPr="00FB5338" w:rsidRDefault="006012C6" w:rsidP="006012C6">
      <w:pPr>
        <w:snapToGrid w:val="0"/>
        <w:spacing w:line="360" w:lineRule="auto"/>
        <w:ind w:firstLineChars="200" w:firstLine="420"/>
        <w:rPr>
          <w:rFonts w:ascii="宋体" w:hAnsi="宋体" w:cs="宋体" w:hint="eastAsia"/>
          <w:szCs w:val="21"/>
        </w:rPr>
      </w:pPr>
      <w:r w:rsidRPr="00FB5338">
        <w:rPr>
          <w:rFonts w:ascii="宋体" w:hAnsi="宋体" w:cs="宋体" w:hint="eastAsia"/>
          <w:szCs w:val="21"/>
        </w:rPr>
        <w:t>（4）本项目所有招标任务结束且工程竣工验收合格后一次性支付合同总价的 30%。</w:t>
      </w:r>
    </w:p>
    <w:sectPr w:rsidR="006012C6" w:rsidRPr="00FB533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A4810" w14:textId="77777777" w:rsidR="00FA465F" w:rsidRDefault="00FA465F" w:rsidP="0019311A">
      <w:r>
        <w:separator/>
      </w:r>
    </w:p>
  </w:endnote>
  <w:endnote w:type="continuationSeparator" w:id="0">
    <w:p w14:paraId="2B5956F2" w14:textId="77777777" w:rsidR="00FA465F" w:rsidRDefault="00FA465F" w:rsidP="0019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902583"/>
      <w:docPartObj>
        <w:docPartGallery w:val="Page Numbers (Bottom of Page)"/>
        <w:docPartUnique/>
      </w:docPartObj>
    </w:sdtPr>
    <w:sdtContent>
      <w:p w14:paraId="79E82EB5" w14:textId="5DD809D2" w:rsidR="00D10ABB" w:rsidRDefault="00D10ABB">
        <w:pPr>
          <w:pStyle w:val="a9"/>
          <w:jc w:val="right"/>
        </w:pPr>
        <w:r>
          <w:fldChar w:fldCharType="begin"/>
        </w:r>
        <w:r>
          <w:instrText>PAGE   \* MERGEFORMAT</w:instrText>
        </w:r>
        <w:r>
          <w:fldChar w:fldCharType="separate"/>
        </w:r>
        <w:r w:rsidR="00A205D6" w:rsidRPr="00A205D6">
          <w:rPr>
            <w:noProof/>
            <w:lang w:val="zh-CN"/>
          </w:rPr>
          <w:t>1</w:t>
        </w:r>
        <w:r>
          <w:fldChar w:fldCharType="end"/>
        </w:r>
      </w:p>
    </w:sdtContent>
  </w:sdt>
  <w:p w14:paraId="6360708B" w14:textId="77777777" w:rsidR="00D10ABB" w:rsidRDefault="00D10A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1E2FF" w14:textId="77777777" w:rsidR="00FA465F" w:rsidRDefault="00FA465F" w:rsidP="0019311A">
      <w:r>
        <w:separator/>
      </w:r>
    </w:p>
  </w:footnote>
  <w:footnote w:type="continuationSeparator" w:id="0">
    <w:p w14:paraId="5082E4FE" w14:textId="77777777" w:rsidR="00FA465F" w:rsidRDefault="00FA465F" w:rsidP="00193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39788D"/>
    <w:multiLevelType w:val="singleLevel"/>
    <w:tmpl w:val="B739788D"/>
    <w:lvl w:ilvl="0">
      <w:start w:val="1"/>
      <w:numFmt w:val="decimal"/>
      <w:suff w:val="nothing"/>
      <w:lvlText w:val="%1）"/>
      <w:lvlJc w:val="left"/>
    </w:lvl>
  </w:abstractNum>
  <w:abstractNum w:abstractNumId="1" w15:restartNumberingAfterBreak="0">
    <w:nsid w:val="287C6055"/>
    <w:multiLevelType w:val="singleLevel"/>
    <w:tmpl w:val="287C6055"/>
    <w:lvl w:ilvl="0">
      <w:start w:val="4"/>
      <w:numFmt w:val="decimal"/>
      <w:suff w:val="nothing"/>
      <w:lvlText w:val="%1、"/>
      <w:lvlJc w:val="left"/>
    </w:lvl>
  </w:abstractNum>
  <w:abstractNum w:abstractNumId="2" w15:restartNumberingAfterBreak="0">
    <w:nsid w:val="2C56EFBF"/>
    <w:multiLevelType w:val="singleLevel"/>
    <w:tmpl w:val="2C56EFBF"/>
    <w:lvl w:ilvl="0">
      <w:start w:val="1"/>
      <w:numFmt w:val="decimal"/>
      <w:suff w:val="nothing"/>
      <w:lvlText w:val="（%1）"/>
      <w:lvlJc w:val="left"/>
    </w:lvl>
  </w:abstractNum>
  <w:num w:numId="1" w16cid:durableId="1220826647">
    <w:abstractNumId w:val="0"/>
  </w:num>
  <w:num w:numId="2" w16cid:durableId="587153508">
    <w:abstractNumId w:val="1"/>
  </w:num>
  <w:num w:numId="3" w16cid:durableId="164512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FE"/>
    <w:rsid w:val="00002EE4"/>
    <w:rsid w:val="00016019"/>
    <w:rsid w:val="00034720"/>
    <w:rsid w:val="0004322C"/>
    <w:rsid w:val="0009653F"/>
    <w:rsid w:val="000B38AF"/>
    <w:rsid w:val="00186C51"/>
    <w:rsid w:val="00192883"/>
    <w:rsid w:val="0019311A"/>
    <w:rsid w:val="00235074"/>
    <w:rsid w:val="002377AC"/>
    <w:rsid w:val="00457966"/>
    <w:rsid w:val="004706DE"/>
    <w:rsid w:val="004A5A8A"/>
    <w:rsid w:val="004C616C"/>
    <w:rsid w:val="00517C61"/>
    <w:rsid w:val="00526543"/>
    <w:rsid w:val="005327FB"/>
    <w:rsid w:val="00535847"/>
    <w:rsid w:val="00537B21"/>
    <w:rsid w:val="0058116C"/>
    <w:rsid w:val="005A4AE3"/>
    <w:rsid w:val="005E27BC"/>
    <w:rsid w:val="005F0B77"/>
    <w:rsid w:val="006012C6"/>
    <w:rsid w:val="00601395"/>
    <w:rsid w:val="00635C58"/>
    <w:rsid w:val="00671898"/>
    <w:rsid w:val="006953FE"/>
    <w:rsid w:val="006A1AD3"/>
    <w:rsid w:val="006A76E1"/>
    <w:rsid w:val="006E0664"/>
    <w:rsid w:val="00732EA8"/>
    <w:rsid w:val="00757746"/>
    <w:rsid w:val="007808FA"/>
    <w:rsid w:val="007941E4"/>
    <w:rsid w:val="007F6724"/>
    <w:rsid w:val="0083380D"/>
    <w:rsid w:val="00845257"/>
    <w:rsid w:val="008A6417"/>
    <w:rsid w:val="00927E9A"/>
    <w:rsid w:val="009613A3"/>
    <w:rsid w:val="009B2E53"/>
    <w:rsid w:val="00A10EF3"/>
    <w:rsid w:val="00A17882"/>
    <w:rsid w:val="00A205D6"/>
    <w:rsid w:val="00A23A67"/>
    <w:rsid w:val="00A265EF"/>
    <w:rsid w:val="00A316E7"/>
    <w:rsid w:val="00B37CEC"/>
    <w:rsid w:val="00B60EF4"/>
    <w:rsid w:val="00B87856"/>
    <w:rsid w:val="00BE7D59"/>
    <w:rsid w:val="00C31BC5"/>
    <w:rsid w:val="00CB6B80"/>
    <w:rsid w:val="00D10ABB"/>
    <w:rsid w:val="00D23A47"/>
    <w:rsid w:val="00D4374F"/>
    <w:rsid w:val="00D70DAA"/>
    <w:rsid w:val="00D8784C"/>
    <w:rsid w:val="00DA3011"/>
    <w:rsid w:val="00DC0150"/>
    <w:rsid w:val="00DC54ED"/>
    <w:rsid w:val="00DD52AE"/>
    <w:rsid w:val="00E33FFB"/>
    <w:rsid w:val="00E56EE5"/>
    <w:rsid w:val="00EE2581"/>
    <w:rsid w:val="00F17D0F"/>
    <w:rsid w:val="00F228F5"/>
    <w:rsid w:val="00F31786"/>
    <w:rsid w:val="00F37B19"/>
    <w:rsid w:val="00F72139"/>
    <w:rsid w:val="00FA465F"/>
    <w:rsid w:val="00FB5338"/>
    <w:rsid w:val="00FE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3564D"/>
  <w15:docId w15:val="{BB67F259-1736-4707-963E-254D98F4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6953FE"/>
    <w:pPr>
      <w:widowControl w:val="0"/>
      <w:jc w:val="both"/>
    </w:pPr>
    <w:rPr>
      <w:rFonts w:ascii="Times New Roman" w:eastAsia="宋体" w:hAnsi="Times New Roman" w:cs="Times New Roman"/>
      <w:snapToGrid w:val="0"/>
      <w:kern w:val="0"/>
      <w:szCs w:val="20"/>
    </w:rPr>
  </w:style>
  <w:style w:type="paragraph" w:styleId="1">
    <w:name w:val="heading 1"/>
    <w:basedOn w:val="a"/>
    <w:next w:val="a"/>
    <w:link w:val="10"/>
    <w:uiPriority w:val="9"/>
    <w:qFormat/>
    <w:rsid w:val="006953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6953FE"/>
    <w:pPr>
      <w:jc w:val="left"/>
    </w:pPr>
    <w:rPr>
      <w:snapToGrid/>
      <w:kern w:val="2"/>
    </w:rPr>
  </w:style>
  <w:style w:type="character" w:customStyle="1" w:styleId="a4">
    <w:name w:val="批注文字 字符"/>
    <w:basedOn w:val="a0"/>
    <w:link w:val="a3"/>
    <w:rsid w:val="006953FE"/>
    <w:rPr>
      <w:rFonts w:ascii="Times New Roman" w:eastAsia="宋体" w:hAnsi="Times New Roman" w:cs="Times New Roman"/>
      <w:szCs w:val="20"/>
    </w:rPr>
  </w:style>
  <w:style w:type="paragraph" w:styleId="a5">
    <w:name w:val="Body Text Indent"/>
    <w:basedOn w:val="a"/>
    <w:next w:val="a"/>
    <w:link w:val="a6"/>
    <w:rsid w:val="006953FE"/>
    <w:pPr>
      <w:adjustRightInd w:val="0"/>
      <w:spacing w:line="360" w:lineRule="auto"/>
      <w:ind w:firstLine="490"/>
      <w:jc w:val="left"/>
    </w:pPr>
    <w:rPr>
      <w:rFonts w:ascii="宋体" w:hAnsi="宋体" w:hint="eastAsia"/>
      <w:sz w:val="24"/>
    </w:rPr>
  </w:style>
  <w:style w:type="character" w:customStyle="1" w:styleId="a6">
    <w:name w:val="正文文本缩进 字符"/>
    <w:basedOn w:val="a0"/>
    <w:link w:val="a5"/>
    <w:rsid w:val="006953FE"/>
    <w:rPr>
      <w:rFonts w:ascii="宋体" w:eastAsia="宋体" w:hAnsi="宋体" w:cs="Times New Roman"/>
      <w:snapToGrid w:val="0"/>
      <w:kern w:val="0"/>
      <w:sz w:val="24"/>
      <w:szCs w:val="20"/>
    </w:rPr>
  </w:style>
  <w:style w:type="paragraph" w:customStyle="1" w:styleId="0">
    <w:name w:val="正文_0"/>
    <w:basedOn w:val="a"/>
    <w:qFormat/>
    <w:rsid w:val="006953FE"/>
    <w:rPr>
      <w:rFonts w:ascii="Calibri" w:hAnsi="Calibri" w:cs="宋体"/>
      <w:snapToGrid/>
      <w:kern w:val="2"/>
      <w:szCs w:val="22"/>
    </w:rPr>
  </w:style>
  <w:style w:type="character" w:customStyle="1" w:styleId="10">
    <w:name w:val="标题 1 字符"/>
    <w:basedOn w:val="a0"/>
    <w:link w:val="1"/>
    <w:uiPriority w:val="9"/>
    <w:rsid w:val="006953FE"/>
    <w:rPr>
      <w:rFonts w:ascii="Times New Roman" w:eastAsia="宋体" w:hAnsi="Times New Roman" w:cs="Times New Roman"/>
      <w:b/>
      <w:bCs/>
      <w:snapToGrid w:val="0"/>
      <w:kern w:val="44"/>
      <w:sz w:val="44"/>
      <w:szCs w:val="44"/>
    </w:rPr>
  </w:style>
  <w:style w:type="paragraph" w:styleId="a7">
    <w:name w:val="header"/>
    <w:basedOn w:val="a"/>
    <w:link w:val="a8"/>
    <w:uiPriority w:val="99"/>
    <w:unhideWhenUsed/>
    <w:rsid w:val="0019311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9311A"/>
    <w:rPr>
      <w:rFonts w:ascii="Times New Roman" w:eastAsia="宋体" w:hAnsi="Times New Roman" w:cs="Times New Roman"/>
      <w:snapToGrid w:val="0"/>
      <w:kern w:val="0"/>
      <w:sz w:val="18"/>
      <w:szCs w:val="18"/>
    </w:rPr>
  </w:style>
  <w:style w:type="paragraph" w:styleId="a9">
    <w:name w:val="footer"/>
    <w:basedOn w:val="a"/>
    <w:link w:val="aa"/>
    <w:uiPriority w:val="99"/>
    <w:unhideWhenUsed/>
    <w:rsid w:val="0019311A"/>
    <w:pPr>
      <w:tabs>
        <w:tab w:val="center" w:pos="4153"/>
        <w:tab w:val="right" w:pos="8306"/>
      </w:tabs>
      <w:snapToGrid w:val="0"/>
      <w:jc w:val="left"/>
    </w:pPr>
    <w:rPr>
      <w:sz w:val="18"/>
      <w:szCs w:val="18"/>
    </w:rPr>
  </w:style>
  <w:style w:type="character" w:customStyle="1" w:styleId="aa">
    <w:name w:val="页脚 字符"/>
    <w:basedOn w:val="a0"/>
    <w:link w:val="a9"/>
    <w:uiPriority w:val="99"/>
    <w:rsid w:val="0019311A"/>
    <w:rPr>
      <w:rFonts w:ascii="Times New Roman" w:eastAsia="宋体" w:hAnsi="Times New Roman" w:cs="Times New Roman"/>
      <w:snapToGrid w:val="0"/>
      <w:kern w:val="0"/>
      <w:sz w:val="18"/>
      <w:szCs w:val="18"/>
    </w:rPr>
  </w:style>
  <w:style w:type="paragraph" w:styleId="ab">
    <w:name w:val="Balloon Text"/>
    <w:basedOn w:val="a"/>
    <w:link w:val="ac"/>
    <w:uiPriority w:val="99"/>
    <w:semiHidden/>
    <w:unhideWhenUsed/>
    <w:rsid w:val="00F17D0F"/>
    <w:rPr>
      <w:sz w:val="18"/>
      <w:szCs w:val="18"/>
    </w:rPr>
  </w:style>
  <w:style w:type="character" w:customStyle="1" w:styleId="ac">
    <w:name w:val="批注框文本 字符"/>
    <w:basedOn w:val="a0"/>
    <w:link w:val="ab"/>
    <w:uiPriority w:val="99"/>
    <w:semiHidden/>
    <w:rsid w:val="00F17D0F"/>
    <w:rPr>
      <w:rFonts w:ascii="Times New Roman" w:eastAsia="宋体"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33211">
      <w:bodyDiv w:val="1"/>
      <w:marLeft w:val="0"/>
      <w:marRight w:val="0"/>
      <w:marTop w:val="0"/>
      <w:marBottom w:val="0"/>
      <w:divBdr>
        <w:top w:val="none" w:sz="0" w:space="0" w:color="auto"/>
        <w:left w:val="none" w:sz="0" w:space="0" w:color="auto"/>
        <w:bottom w:val="none" w:sz="0" w:space="0" w:color="auto"/>
        <w:right w:val="none" w:sz="0" w:space="0" w:color="auto"/>
      </w:divBdr>
    </w:div>
    <w:div w:id="565409731">
      <w:bodyDiv w:val="1"/>
      <w:marLeft w:val="0"/>
      <w:marRight w:val="0"/>
      <w:marTop w:val="0"/>
      <w:marBottom w:val="0"/>
      <w:divBdr>
        <w:top w:val="none" w:sz="0" w:space="0" w:color="auto"/>
        <w:left w:val="none" w:sz="0" w:space="0" w:color="auto"/>
        <w:bottom w:val="none" w:sz="0" w:space="0" w:color="auto"/>
        <w:right w:val="none" w:sz="0" w:space="0" w:color="auto"/>
      </w:divBdr>
      <w:divsChild>
        <w:div w:id="1561668051">
          <w:marLeft w:val="0"/>
          <w:marRight w:val="0"/>
          <w:marTop w:val="0"/>
          <w:marBottom w:val="0"/>
          <w:divBdr>
            <w:top w:val="none" w:sz="0" w:space="0" w:color="auto"/>
            <w:left w:val="none" w:sz="0" w:space="0" w:color="auto"/>
            <w:bottom w:val="none" w:sz="0" w:space="0" w:color="auto"/>
            <w:right w:val="none" w:sz="0" w:space="0" w:color="auto"/>
          </w:divBdr>
        </w:div>
        <w:div w:id="115029566">
          <w:marLeft w:val="0"/>
          <w:marRight w:val="0"/>
          <w:marTop w:val="0"/>
          <w:marBottom w:val="0"/>
          <w:divBdr>
            <w:top w:val="none" w:sz="0" w:space="0" w:color="auto"/>
            <w:left w:val="none" w:sz="0" w:space="0" w:color="auto"/>
            <w:bottom w:val="none" w:sz="0" w:space="0" w:color="auto"/>
            <w:right w:val="none" w:sz="0" w:space="0" w:color="auto"/>
          </w:divBdr>
        </w:div>
        <w:div w:id="1850942178">
          <w:marLeft w:val="0"/>
          <w:marRight w:val="0"/>
          <w:marTop w:val="0"/>
          <w:marBottom w:val="0"/>
          <w:divBdr>
            <w:top w:val="none" w:sz="0" w:space="0" w:color="auto"/>
            <w:left w:val="none" w:sz="0" w:space="0" w:color="auto"/>
            <w:bottom w:val="none" w:sz="0" w:space="0" w:color="auto"/>
            <w:right w:val="none" w:sz="0" w:space="0" w:color="auto"/>
          </w:divBdr>
        </w:div>
        <w:div w:id="1483236868">
          <w:marLeft w:val="0"/>
          <w:marRight w:val="0"/>
          <w:marTop w:val="0"/>
          <w:marBottom w:val="0"/>
          <w:divBdr>
            <w:top w:val="none" w:sz="0" w:space="0" w:color="auto"/>
            <w:left w:val="none" w:sz="0" w:space="0" w:color="auto"/>
            <w:bottom w:val="none" w:sz="0" w:space="0" w:color="auto"/>
            <w:right w:val="none" w:sz="0" w:space="0" w:color="auto"/>
          </w:divBdr>
        </w:div>
        <w:div w:id="1531721767">
          <w:marLeft w:val="0"/>
          <w:marRight w:val="0"/>
          <w:marTop w:val="0"/>
          <w:marBottom w:val="0"/>
          <w:divBdr>
            <w:top w:val="none" w:sz="0" w:space="0" w:color="auto"/>
            <w:left w:val="none" w:sz="0" w:space="0" w:color="auto"/>
            <w:bottom w:val="none" w:sz="0" w:space="0" w:color="auto"/>
            <w:right w:val="none" w:sz="0" w:space="0" w:color="auto"/>
          </w:divBdr>
        </w:div>
        <w:div w:id="1138916820">
          <w:marLeft w:val="0"/>
          <w:marRight w:val="0"/>
          <w:marTop w:val="0"/>
          <w:marBottom w:val="0"/>
          <w:divBdr>
            <w:top w:val="none" w:sz="0" w:space="0" w:color="auto"/>
            <w:left w:val="none" w:sz="0" w:space="0" w:color="auto"/>
            <w:bottom w:val="none" w:sz="0" w:space="0" w:color="auto"/>
            <w:right w:val="none" w:sz="0" w:space="0" w:color="auto"/>
          </w:divBdr>
        </w:div>
        <w:div w:id="1693653348">
          <w:marLeft w:val="0"/>
          <w:marRight w:val="0"/>
          <w:marTop w:val="0"/>
          <w:marBottom w:val="0"/>
          <w:divBdr>
            <w:top w:val="none" w:sz="0" w:space="0" w:color="auto"/>
            <w:left w:val="none" w:sz="0" w:space="0" w:color="auto"/>
            <w:bottom w:val="none" w:sz="0" w:space="0" w:color="auto"/>
            <w:right w:val="none" w:sz="0" w:space="0" w:color="auto"/>
          </w:divBdr>
        </w:div>
        <w:div w:id="793643727">
          <w:marLeft w:val="0"/>
          <w:marRight w:val="0"/>
          <w:marTop w:val="0"/>
          <w:marBottom w:val="0"/>
          <w:divBdr>
            <w:top w:val="none" w:sz="0" w:space="0" w:color="auto"/>
            <w:left w:val="none" w:sz="0" w:space="0" w:color="auto"/>
            <w:bottom w:val="none" w:sz="0" w:space="0" w:color="auto"/>
            <w:right w:val="none" w:sz="0" w:space="0" w:color="auto"/>
          </w:divBdr>
        </w:div>
        <w:div w:id="769593199">
          <w:marLeft w:val="0"/>
          <w:marRight w:val="0"/>
          <w:marTop w:val="0"/>
          <w:marBottom w:val="0"/>
          <w:divBdr>
            <w:top w:val="none" w:sz="0" w:space="0" w:color="auto"/>
            <w:left w:val="none" w:sz="0" w:space="0" w:color="auto"/>
            <w:bottom w:val="none" w:sz="0" w:space="0" w:color="auto"/>
            <w:right w:val="none" w:sz="0" w:space="0" w:color="auto"/>
          </w:divBdr>
        </w:div>
        <w:div w:id="379936094">
          <w:marLeft w:val="0"/>
          <w:marRight w:val="0"/>
          <w:marTop w:val="0"/>
          <w:marBottom w:val="0"/>
          <w:divBdr>
            <w:top w:val="none" w:sz="0" w:space="0" w:color="auto"/>
            <w:left w:val="none" w:sz="0" w:space="0" w:color="auto"/>
            <w:bottom w:val="none" w:sz="0" w:space="0" w:color="auto"/>
            <w:right w:val="none" w:sz="0" w:space="0" w:color="auto"/>
          </w:divBdr>
        </w:div>
      </w:divsChild>
    </w:div>
    <w:div w:id="1517767820">
      <w:bodyDiv w:val="1"/>
      <w:marLeft w:val="0"/>
      <w:marRight w:val="0"/>
      <w:marTop w:val="0"/>
      <w:marBottom w:val="0"/>
      <w:divBdr>
        <w:top w:val="none" w:sz="0" w:space="0" w:color="auto"/>
        <w:left w:val="none" w:sz="0" w:space="0" w:color="auto"/>
        <w:bottom w:val="none" w:sz="0" w:space="0" w:color="auto"/>
        <w:right w:val="none" w:sz="0" w:space="0" w:color="auto"/>
      </w:divBdr>
      <w:divsChild>
        <w:div w:id="1843886460">
          <w:marLeft w:val="0"/>
          <w:marRight w:val="0"/>
          <w:marTop w:val="0"/>
          <w:marBottom w:val="0"/>
          <w:divBdr>
            <w:top w:val="none" w:sz="0" w:space="0" w:color="auto"/>
            <w:left w:val="none" w:sz="0" w:space="0" w:color="auto"/>
            <w:bottom w:val="none" w:sz="0" w:space="0" w:color="auto"/>
            <w:right w:val="none" w:sz="0" w:space="0" w:color="auto"/>
          </w:divBdr>
        </w:div>
        <w:div w:id="946883831">
          <w:marLeft w:val="0"/>
          <w:marRight w:val="0"/>
          <w:marTop w:val="0"/>
          <w:marBottom w:val="0"/>
          <w:divBdr>
            <w:top w:val="none" w:sz="0" w:space="0" w:color="auto"/>
            <w:left w:val="none" w:sz="0" w:space="0" w:color="auto"/>
            <w:bottom w:val="none" w:sz="0" w:space="0" w:color="auto"/>
            <w:right w:val="none" w:sz="0" w:space="0" w:color="auto"/>
          </w:divBdr>
        </w:div>
        <w:div w:id="1266302485">
          <w:marLeft w:val="0"/>
          <w:marRight w:val="0"/>
          <w:marTop w:val="0"/>
          <w:marBottom w:val="0"/>
          <w:divBdr>
            <w:top w:val="none" w:sz="0" w:space="0" w:color="auto"/>
            <w:left w:val="none" w:sz="0" w:space="0" w:color="auto"/>
            <w:bottom w:val="none" w:sz="0" w:space="0" w:color="auto"/>
            <w:right w:val="none" w:sz="0" w:space="0" w:color="auto"/>
          </w:divBdr>
        </w:div>
        <w:div w:id="920069505">
          <w:marLeft w:val="0"/>
          <w:marRight w:val="0"/>
          <w:marTop w:val="0"/>
          <w:marBottom w:val="0"/>
          <w:divBdr>
            <w:top w:val="none" w:sz="0" w:space="0" w:color="auto"/>
            <w:left w:val="none" w:sz="0" w:space="0" w:color="auto"/>
            <w:bottom w:val="none" w:sz="0" w:space="0" w:color="auto"/>
            <w:right w:val="none" w:sz="0" w:space="0" w:color="auto"/>
          </w:divBdr>
        </w:div>
        <w:div w:id="1654024217">
          <w:marLeft w:val="0"/>
          <w:marRight w:val="0"/>
          <w:marTop w:val="0"/>
          <w:marBottom w:val="0"/>
          <w:divBdr>
            <w:top w:val="none" w:sz="0" w:space="0" w:color="auto"/>
            <w:left w:val="none" w:sz="0" w:space="0" w:color="auto"/>
            <w:bottom w:val="none" w:sz="0" w:space="0" w:color="auto"/>
            <w:right w:val="none" w:sz="0" w:space="0" w:color="auto"/>
          </w:divBdr>
        </w:div>
        <w:div w:id="551692994">
          <w:marLeft w:val="0"/>
          <w:marRight w:val="0"/>
          <w:marTop w:val="0"/>
          <w:marBottom w:val="0"/>
          <w:divBdr>
            <w:top w:val="none" w:sz="0" w:space="0" w:color="auto"/>
            <w:left w:val="none" w:sz="0" w:space="0" w:color="auto"/>
            <w:bottom w:val="none" w:sz="0" w:space="0" w:color="auto"/>
            <w:right w:val="none" w:sz="0" w:space="0" w:color="auto"/>
          </w:divBdr>
        </w:div>
        <w:div w:id="1558542948">
          <w:marLeft w:val="0"/>
          <w:marRight w:val="0"/>
          <w:marTop w:val="0"/>
          <w:marBottom w:val="0"/>
          <w:divBdr>
            <w:top w:val="none" w:sz="0" w:space="0" w:color="auto"/>
            <w:left w:val="none" w:sz="0" w:space="0" w:color="auto"/>
            <w:bottom w:val="none" w:sz="0" w:space="0" w:color="auto"/>
            <w:right w:val="none" w:sz="0" w:space="0" w:color="auto"/>
          </w:divBdr>
        </w:div>
        <w:div w:id="1896047310">
          <w:marLeft w:val="0"/>
          <w:marRight w:val="0"/>
          <w:marTop w:val="0"/>
          <w:marBottom w:val="0"/>
          <w:divBdr>
            <w:top w:val="none" w:sz="0" w:space="0" w:color="auto"/>
            <w:left w:val="none" w:sz="0" w:space="0" w:color="auto"/>
            <w:bottom w:val="none" w:sz="0" w:space="0" w:color="auto"/>
            <w:right w:val="none" w:sz="0" w:space="0" w:color="auto"/>
          </w:divBdr>
        </w:div>
        <w:div w:id="763965330">
          <w:marLeft w:val="0"/>
          <w:marRight w:val="0"/>
          <w:marTop w:val="0"/>
          <w:marBottom w:val="0"/>
          <w:divBdr>
            <w:top w:val="none" w:sz="0" w:space="0" w:color="auto"/>
            <w:left w:val="none" w:sz="0" w:space="0" w:color="auto"/>
            <w:bottom w:val="none" w:sz="0" w:space="0" w:color="auto"/>
            <w:right w:val="none" w:sz="0" w:space="0" w:color="auto"/>
          </w:divBdr>
        </w:div>
        <w:div w:id="188378785">
          <w:marLeft w:val="0"/>
          <w:marRight w:val="0"/>
          <w:marTop w:val="0"/>
          <w:marBottom w:val="0"/>
          <w:divBdr>
            <w:top w:val="none" w:sz="0" w:space="0" w:color="auto"/>
            <w:left w:val="none" w:sz="0" w:space="0" w:color="auto"/>
            <w:bottom w:val="none" w:sz="0" w:space="0" w:color="auto"/>
            <w:right w:val="none" w:sz="0" w:space="0" w:color="auto"/>
          </w:divBdr>
        </w:div>
      </w:divsChild>
    </w:div>
    <w:div w:id="160730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CEC7C-4ADB-4DF1-8AC5-C91AF703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lzy</dc:creator>
  <cp:lastModifiedBy>Shen Yiqin</cp:lastModifiedBy>
  <cp:revision>8</cp:revision>
  <dcterms:created xsi:type="dcterms:W3CDTF">2025-02-24T07:07:00Z</dcterms:created>
  <dcterms:modified xsi:type="dcterms:W3CDTF">2025-02-25T00:50:00Z</dcterms:modified>
</cp:coreProperties>
</file>