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77" w:rsidRPr="0022767C" w:rsidRDefault="00323B77" w:rsidP="00323B77">
      <w:pPr>
        <w:tabs>
          <w:tab w:val="left" w:pos="2642"/>
        </w:tabs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附件一：检测试剂参数要求</w:t>
      </w:r>
      <w:r w:rsidRPr="00145F7F">
        <w:rPr>
          <w:rFonts w:asciiTheme="minorEastAsia" w:hAnsiTheme="minorEastAsia"/>
          <w:szCs w:val="21"/>
        </w:rPr>
        <w:tab/>
      </w:r>
    </w:p>
    <w:p w:rsidR="00323B77" w:rsidRPr="00145F7F" w:rsidRDefault="00323B77" w:rsidP="00323B77">
      <w:pPr>
        <w:tabs>
          <w:tab w:val="left" w:pos="2642"/>
        </w:tabs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一、总体要求：</w:t>
      </w:r>
      <w:r w:rsidRPr="00145F7F">
        <w:rPr>
          <w:rFonts w:asciiTheme="minorEastAsia" w:hAnsiTheme="minorEastAsia"/>
          <w:szCs w:val="21"/>
        </w:rPr>
        <w:tab/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1．所供试剂具有完善的销售供应和售后服务的保障体系，货源充足，供货及时，冷链运输，具有24小时内加急供货的应急能力，</w:t>
      </w:r>
      <w:r w:rsidRPr="00145F7F">
        <w:rPr>
          <w:rFonts w:asciiTheme="minorEastAsia" w:hAnsiTheme="minorEastAsia" w:cs="宋体" w:hint="eastAsia"/>
          <w:szCs w:val="21"/>
        </w:rPr>
        <w:t>定期提供操作培训及技术支持</w:t>
      </w:r>
      <w:r w:rsidRPr="00145F7F">
        <w:rPr>
          <w:rFonts w:asciiTheme="minorEastAsia" w:hAnsiTheme="minorEastAsia" w:hint="eastAsia"/>
          <w:szCs w:val="21"/>
        </w:rPr>
        <w:t>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4．产品必须有浙江省药械平台相关产品代码并同意线上采购；若无产品代码，中标产品须在合同签订前提供相应产品代码并同意</w:t>
      </w:r>
      <w:r>
        <w:rPr>
          <w:rFonts w:asciiTheme="minorEastAsia" w:hAnsiTheme="minorEastAsia" w:hint="eastAsia"/>
          <w:szCs w:val="21"/>
        </w:rPr>
        <w:t>省药械采购平台</w:t>
      </w:r>
      <w:r w:rsidRPr="00145F7F">
        <w:rPr>
          <w:rFonts w:asciiTheme="minorEastAsia" w:hAnsiTheme="minorEastAsia" w:hint="eastAsia"/>
          <w:szCs w:val="21"/>
        </w:rPr>
        <w:t>线上采购。</w:t>
      </w:r>
      <w:r>
        <w:rPr>
          <w:rFonts w:asciiTheme="minorEastAsia" w:hAnsiTheme="minorEastAsia" w:hint="eastAsia"/>
          <w:szCs w:val="21"/>
        </w:rPr>
        <w:t>供应商具有所供产品的</w:t>
      </w:r>
      <w:r w:rsidRPr="00145F7F">
        <w:rPr>
          <w:rFonts w:asciiTheme="minorEastAsia" w:hAnsiTheme="minorEastAsia" w:hint="eastAsia"/>
          <w:szCs w:val="21"/>
        </w:rPr>
        <w:t>浙江省药械平台</w:t>
      </w:r>
      <w:r>
        <w:rPr>
          <w:rFonts w:asciiTheme="minorEastAsia" w:hAnsiTheme="minorEastAsia" w:hint="eastAsia"/>
          <w:szCs w:val="21"/>
        </w:rPr>
        <w:t>配送权：若无配送权，中标商需在规定期限内获得配送权。报名资料及投标文件需提交相关承诺说明。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7．设备维修及时（≤8小时响应），</w:t>
      </w:r>
      <w:r w:rsidRPr="00145F7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145F7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9．提供的产品和设备必须具有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有效产品注册证</w:t>
      </w:r>
      <w:r w:rsidRPr="00145F7F">
        <w:rPr>
          <w:rFonts w:asciiTheme="minorEastAsia" w:hAnsiTheme="minorEastAsia" w:hint="eastAsia"/>
          <w:szCs w:val="21"/>
        </w:rPr>
        <w:t>或证明文件。</w:t>
      </w:r>
    </w:p>
    <w:p w:rsidR="00323B77" w:rsidRPr="00145F7F" w:rsidRDefault="00323B77" w:rsidP="00323B77">
      <w:pPr>
        <w:rPr>
          <w:rFonts w:asciiTheme="minorEastAsia" w:hAnsiTheme="minorEastAsia"/>
          <w:szCs w:val="21"/>
        </w:rPr>
      </w:pPr>
      <w:r w:rsidRPr="00145F7F"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10．完成投标项目所需全部的主试剂、辅助试剂或耗品（包括清洗液、缓冲液、校准品、质控品、底物、反应试管等）的商品名、规格、货号及价格等由应标方详细列出，未在列的辅助试剂或耗品视作配套提供。</w:t>
      </w:r>
    </w:p>
    <w:p w:rsidR="00323B77" w:rsidRDefault="00323B77" w:rsidP="00323B77">
      <w:pPr>
        <w:rPr>
          <w:kern w:val="0"/>
          <w:szCs w:val="21"/>
        </w:rPr>
      </w:pPr>
      <w:r w:rsidRPr="00145F7F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1</w:t>
      </w:r>
      <w:r w:rsidRPr="00145F7F">
        <w:rPr>
          <w:rFonts w:asciiTheme="minorEastAsia" w:hAnsiTheme="minorEastAsia" w:hint="eastAsia"/>
          <w:szCs w:val="21"/>
        </w:rPr>
        <w:t>．合同执行过程中，</w:t>
      </w:r>
      <w:r w:rsidRPr="00145F7F">
        <w:rPr>
          <w:rFonts w:asciiTheme="minorEastAsia" w:hAnsiTheme="minorEastAsia" w:cs="Times New Roman" w:hint="eastAsia"/>
          <w:bCs/>
          <w:szCs w:val="21"/>
        </w:rPr>
        <w:t>对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 w:rsidRPr="00145F7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145F7F">
        <w:rPr>
          <w:rFonts w:asciiTheme="minorEastAsia" w:hAnsiTheme="minorEastAsia" w:hint="eastAsia"/>
          <w:bCs/>
          <w:szCs w:val="21"/>
        </w:rPr>
        <w:t>，并</w:t>
      </w:r>
      <w:r w:rsidRPr="00145F7F">
        <w:rPr>
          <w:rFonts w:asciiTheme="minorEastAsia" w:hAnsiTheme="minorEastAsia" w:hint="eastAsia"/>
          <w:szCs w:val="21"/>
        </w:rPr>
        <w:t>赔偿已采购成本差</w:t>
      </w:r>
      <w:r w:rsidRPr="00145F7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145F7F">
        <w:rPr>
          <w:rFonts w:asciiTheme="minorEastAsia" w:hAnsiTheme="minorEastAsia" w:hint="eastAsia"/>
          <w:szCs w:val="21"/>
        </w:rPr>
        <w:t>试剂或耗材</w:t>
      </w:r>
      <w:r w:rsidRPr="00145F7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145F7F">
        <w:rPr>
          <w:rFonts w:asciiTheme="minorEastAsia" w:hAnsiTheme="minorEastAsia" w:hint="eastAsia"/>
          <w:szCs w:val="21"/>
        </w:rPr>
        <w:t>；如发现试剂或耗材的采购</w:t>
      </w:r>
      <w:r w:rsidRPr="00145F7F">
        <w:rPr>
          <w:rFonts w:hint="eastAsia"/>
          <w:szCs w:val="21"/>
        </w:rPr>
        <w:t>价格高于浙江省阳光采购最低价，要求调整到最低价。</w:t>
      </w:r>
      <w:r>
        <w:rPr>
          <w:rFonts w:hint="eastAsia"/>
          <w:kern w:val="0"/>
          <w:szCs w:val="21"/>
        </w:rPr>
        <w:t>若试剂或耗材纳入省或市集中招标采购目录，本合同试剂或耗材未能中标，则合同自动终止。如中标，则按中标价格与采购方式执行。</w:t>
      </w:r>
    </w:p>
    <w:p w:rsidR="00323B77" w:rsidRPr="00775578" w:rsidRDefault="00323B77" w:rsidP="00323B77">
      <w:pPr>
        <w:pStyle w:val="a6"/>
        <w:ind w:firstLineChars="0" w:firstLine="0"/>
        <w:rPr>
          <w:rFonts w:asciiTheme="minorEastAsia" w:hAnsiTheme="minorEastAsia"/>
          <w:szCs w:val="21"/>
        </w:rPr>
      </w:pPr>
      <w:r w:rsidRPr="00775578">
        <w:rPr>
          <w:rFonts w:hint="eastAsia"/>
          <w:kern w:val="0"/>
          <w:szCs w:val="21"/>
        </w:rPr>
        <w:t>12.</w:t>
      </w:r>
      <w:r w:rsidRPr="00775578">
        <w:rPr>
          <w:rFonts w:hAnsi="宋体" w:hint="eastAsia"/>
          <w:szCs w:val="21"/>
        </w:rPr>
        <w:t xml:space="preserve"> </w:t>
      </w:r>
      <w:r w:rsidRPr="00775578">
        <w:rPr>
          <w:rFonts w:asciiTheme="minorEastAsia" w:hAnsiTheme="minorEastAsia"/>
          <w:szCs w:val="21"/>
        </w:rPr>
        <w:t>合同期内</w:t>
      </w:r>
      <w:r w:rsidRPr="00775578">
        <w:rPr>
          <w:rFonts w:asciiTheme="minorEastAsia" w:hAnsiTheme="minorEastAsia" w:hint="eastAsia"/>
          <w:szCs w:val="21"/>
        </w:rPr>
        <w:t>，如果医疗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标准出现</w:t>
      </w:r>
      <w:r w:rsidRPr="00775578">
        <w:rPr>
          <w:rFonts w:asciiTheme="minorEastAsia" w:hAnsiTheme="minorEastAsia"/>
          <w:szCs w:val="21"/>
        </w:rPr>
        <w:t>调整</w:t>
      </w:r>
      <w:r w:rsidRPr="00775578">
        <w:rPr>
          <w:rFonts w:asciiTheme="minorEastAsia" w:hAnsiTheme="minorEastAsia" w:hint="eastAsia"/>
          <w:szCs w:val="21"/>
        </w:rPr>
        <w:t>，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标准上浮，按原收费标准</w:t>
      </w:r>
      <w:r>
        <w:rPr>
          <w:rFonts w:asciiTheme="minorEastAsia" w:hAnsiTheme="minorEastAsia" w:hint="eastAsia"/>
          <w:szCs w:val="21"/>
        </w:rPr>
        <w:t>和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>
        <w:rPr>
          <w:rFonts w:asciiTheme="minorEastAsia" w:hAnsiTheme="minorEastAsia" w:hint="eastAsia"/>
          <w:szCs w:val="21"/>
        </w:rPr>
        <w:t>承诺比例</w:t>
      </w:r>
      <w:r w:rsidRPr="00775578">
        <w:rPr>
          <w:rFonts w:asciiTheme="minorEastAsia" w:hAnsiTheme="minorEastAsia" w:hint="eastAsia"/>
          <w:szCs w:val="21"/>
        </w:rPr>
        <w:t>进行试剂成本核算；如</w:t>
      </w:r>
      <w:r w:rsidRPr="00775578">
        <w:rPr>
          <w:rFonts w:asciiTheme="minorEastAsia" w:hAnsiTheme="minorEastAsia"/>
          <w:szCs w:val="21"/>
        </w:rPr>
        <w:t>收费</w:t>
      </w:r>
      <w:r w:rsidRPr="00775578">
        <w:rPr>
          <w:rFonts w:asciiTheme="minorEastAsia" w:hAnsiTheme="minorEastAsia" w:hint="eastAsia"/>
          <w:szCs w:val="21"/>
        </w:rPr>
        <w:t>标准下降，按下降后的收费标准</w:t>
      </w:r>
      <w:r>
        <w:rPr>
          <w:rFonts w:asciiTheme="minorEastAsia" w:hAnsiTheme="minorEastAsia" w:hint="eastAsia"/>
          <w:szCs w:val="21"/>
        </w:rPr>
        <w:t>和</w:t>
      </w:r>
      <w:r w:rsidRPr="00145F7F">
        <w:rPr>
          <w:rFonts w:asciiTheme="minorEastAsia" w:hAnsiTheme="minorEastAsia" w:hint="eastAsia"/>
          <w:bCs/>
          <w:szCs w:val="21"/>
        </w:rPr>
        <w:t>供应商投标</w:t>
      </w:r>
      <w:r>
        <w:rPr>
          <w:rFonts w:asciiTheme="minorEastAsia" w:hAnsiTheme="minorEastAsia" w:hint="eastAsia"/>
          <w:szCs w:val="21"/>
        </w:rPr>
        <w:t>承诺比例</w:t>
      </w:r>
      <w:r w:rsidRPr="00775578">
        <w:rPr>
          <w:rFonts w:asciiTheme="minorEastAsia" w:hAnsiTheme="minorEastAsia" w:hint="eastAsia"/>
          <w:szCs w:val="21"/>
        </w:rPr>
        <w:t>执行。</w:t>
      </w: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B359B8" w:rsidRDefault="00B359B8" w:rsidP="00323B77">
      <w:pPr>
        <w:rPr>
          <w:rFonts w:asciiTheme="minorEastAsia" w:hAnsiTheme="minorEastAsia" w:hint="eastAsia"/>
          <w:szCs w:val="21"/>
        </w:rPr>
      </w:pPr>
    </w:p>
    <w:p w:rsidR="00323B77" w:rsidRDefault="00323B77" w:rsidP="00323B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二、具体项目参数</w:t>
      </w:r>
    </w:p>
    <w:tbl>
      <w:tblPr>
        <w:tblStyle w:val="a5"/>
        <w:tblW w:w="5992" w:type="pct"/>
        <w:jc w:val="center"/>
        <w:tblInd w:w="-459" w:type="dxa"/>
        <w:tblLook w:val="04A0"/>
      </w:tblPr>
      <w:tblGrid>
        <w:gridCol w:w="1165"/>
        <w:gridCol w:w="1064"/>
        <w:gridCol w:w="2743"/>
        <w:gridCol w:w="5241"/>
      </w:tblGrid>
      <w:tr w:rsidR="00323B77" w:rsidRPr="0026389F" w:rsidTr="00B359B8">
        <w:trPr>
          <w:trHeight w:val="520"/>
          <w:tblHeader/>
          <w:jc w:val="center"/>
        </w:trPr>
        <w:tc>
          <w:tcPr>
            <w:tcW w:w="570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521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343" w:type="pct"/>
            <w:vAlign w:val="center"/>
          </w:tcPr>
          <w:p w:rsidR="00323B77" w:rsidRPr="0026389F" w:rsidRDefault="00323B77" w:rsidP="00B359B8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/>
                <w:b/>
                <w:szCs w:val="21"/>
              </w:rPr>
              <w:t>产品名称</w:t>
            </w:r>
            <w:r>
              <w:rPr>
                <w:rFonts w:asciiTheme="minorEastAsia" w:hAnsiTheme="minorEastAsia" w:hint="eastAsia"/>
                <w:b/>
                <w:szCs w:val="21"/>
              </w:rPr>
              <w:t>及医院收费</w:t>
            </w:r>
          </w:p>
        </w:tc>
        <w:tc>
          <w:tcPr>
            <w:tcW w:w="2566" w:type="pct"/>
            <w:vAlign w:val="center"/>
          </w:tcPr>
          <w:p w:rsidR="00323B77" w:rsidRPr="0026389F" w:rsidRDefault="00323B77" w:rsidP="00D80B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6389F">
              <w:rPr>
                <w:rFonts w:asciiTheme="minorEastAsia" w:hAnsiTheme="minorEastAsia" w:hint="eastAsia"/>
                <w:b/>
                <w:szCs w:val="21"/>
              </w:rPr>
              <w:t>产品</w:t>
            </w:r>
            <w:r w:rsidRPr="0026389F">
              <w:rPr>
                <w:rFonts w:asciiTheme="minorEastAsia" w:hAnsiTheme="minorEastAsia"/>
                <w:b/>
                <w:szCs w:val="21"/>
              </w:rPr>
              <w:t>参数要求</w:t>
            </w:r>
          </w:p>
        </w:tc>
      </w:tr>
      <w:tr w:rsidR="00B359B8" w:rsidRPr="0026389F" w:rsidTr="00B359B8">
        <w:trPr>
          <w:trHeight w:val="4963"/>
          <w:tblHeader/>
          <w:jc w:val="center"/>
        </w:trPr>
        <w:tc>
          <w:tcPr>
            <w:tcW w:w="570" w:type="pct"/>
            <w:vAlign w:val="center"/>
          </w:tcPr>
          <w:p w:rsidR="00B359B8" w:rsidRPr="005372F6" w:rsidRDefault="00B359B8" w:rsidP="00D83F46">
            <w:pPr>
              <w:jc w:val="center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SJ-202155</w:t>
            </w:r>
          </w:p>
        </w:tc>
        <w:tc>
          <w:tcPr>
            <w:tcW w:w="521" w:type="pct"/>
            <w:vAlign w:val="center"/>
          </w:tcPr>
          <w:p w:rsidR="00B359B8" w:rsidRPr="005372F6" w:rsidRDefault="00B359B8" w:rsidP="00D83F46">
            <w:pPr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骨代谢检测试剂及相关设备租赁</w:t>
            </w:r>
          </w:p>
        </w:tc>
        <w:tc>
          <w:tcPr>
            <w:tcW w:w="1343" w:type="pct"/>
            <w:vAlign w:val="center"/>
          </w:tcPr>
          <w:p w:rsidR="00B359B8" w:rsidRPr="005372F6" w:rsidRDefault="00B359B8" w:rsidP="00D83F46">
            <w:pPr>
              <w:spacing w:line="276" w:lineRule="auto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372F6">
              <w:rPr>
                <w:rFonts w:asciiTheme="minorEastAsia" w:hAnsiTheme="minorEastAsia" w:cs="Times New Roman" w:hint="eastAsia"/>
                <w:sz w:val="21"/>
                <w:szCs w:val="21"/>
              </w:rPr>
              <w:t>1.Ⅰ型胶原交联羧基末端肽（CTX-Ⅰ）</w:t>
            </w:r>
          </w:p>
          <w:p w:rsidR="00B359B8" w:rsidRPr="005372F6" w:rsidRDefault="00B359B8" w:rsidP="00D83F46">
            <w:pPr>
              <w:spacing w:line="276" w:lineRule="auto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372F6">
              <w:rPr>
                <w:rFonts w:asciiTheme="minorEastAsia" w:hAnsiTheme="minorEastAsia" w:cs="Times New Roman" w:hint="eastAsia"/>
                <w:sz w:val="21"/>
                <w:szCs w:val="21"/>
              </w:rPr>
              <w:t>2.Ⅰ型前胶原交联氨基端前肽（PINP）</w:t>
            </w:r>
          </w:p>
          <w:p w:rsidR="00B359B8" w:rsidRPr="005372F6" w:rsidRDefault="00B359B8" w:rsidP="00D83F46">
            <w:pPr>
              <w:spacing w:line="276" w:lineRule="auto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372F6">
              <w:rPr>
                <w:rFonts w:asciiTheme="minorEastAsia" w:hAnsiTheme="minorEastAsia" w:cs="Times New Roman" w:hint="eastAsia"/>
                <w:sz w:val="21"/>
                <w:szCs w:val="21"/>
              </w:rPr>
              <w:t>3.骨钙素</w:t>
            </w:r>
          </w:p>
          <w:p w:rsidR="00B359B8" w:rsidRPr="005372F6" w:rsidRDefault="00B359B8" w:rsidP="00D83F46">
            <w:pPr>
              <w:spacing w:line="276" w:lineRule="auto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372F6">
              <w:rPr>
                <w:rFonts w:asciiTheme="minorEastAsia" w:hAnsiTheme="minorEastAsia" w:cs="Times New Roman" w:hint="eastAsia"/>
                <w:sz w:val="21"/>
                <w:szCs w:val="21"/>
              </w:rPr>
              <w:t>4.甲状旁腺激素（iPTH）</w:t>
            </w:r>
          </w:p>
          <w:p w:rsidR="00B359B8" w:rsidRPr="005372F6" w:rsidRDefault="00B359B8" w:rsidP="00D83F46">
            <w:pPr>
              <w:spacing w:line="276" w:lineRule="auto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372F6">
              <w:rPr>
                <w:rFonts w:asciiTheme="minorEastAsia" w:hAnsiTheme="minorEastAsia" w:cs="Times New Roman" w:hint="eastAsia"/>
                <w:sz w:val="21"/>
                <w:szCs w:val="21"/>
              </w:rPr>
              <w:t>5.抗酒石酸酸性磷酸酶</w:t>
            </w:r>
          </w:p>
          <w:p w:rsidR="00B359B8" w:rsidRPr="005372F6" w:rsidRDefault="00B359B8" w:rsidP="00D83F46">
            <w:pPr>
              <w:spacing w:line="276" w:lineRule="auto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372F6">
              <w:rPr>
                <w:rFonts w:asciiTheme="minorEastAsia" w:hAnsiTheme="minorEastAsia" w:cs="Times New Roman" w:hint="eastAsia"/>
                <w:sz w:val="21"/>
                <w:szCs w:val="21"/>
              </w:rPr>
              <w:t>6.骨源性碱性磷酸酶</w:t>
            </w:r>
          </w:p>
          <w:p w:rsidR="00B359B8" w:rsidRPr="005372F6" w:rsidRDefault="00B359B8" w:rsidP="00D83F46">
            <w:pPr>
              <w:spacing w:line="276" w:lineRule="auto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372F6">
              <w:rPr>
                <w:rFonts w:asciiTheme="minorEastAsia" w:hAnsiTheme="minorEastAsia" w:cs="Times New Roman" w:hint="eastAsia"/>
                <w:sz w:val="21"/>
                <w:szCs w:val="21"/>
              </w:rPr>
              <w:t>7.25羟维生素D</w:t>
            </w:r>
          </w:p>
          <w:p w:rsidR="00B359B8" w:rsidRPr="005372F6" w:rsidRDefault="00B359B8" w:rsidP="00D83F46">
            <w:pPr>
              <w:spacing w:line="276" w:lineRule="auto"/>
              <w:jc w:val="left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372F6">
              <w:rPr>
                <w:rFonts w:asciiTheme="minorEastAsia" w:hAnsiTheme="minorEastAsia" w:cs="Times New Roman" w:hint="eastAsia"/>
                <w:sz w:val="21"/>
                <w:szCs w:val="21"/>
              </w:rPr>
              <w:t>8.</w:t>
            </w:r>
            <w:r w:rsidRPr="005372F6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 xml:space="preserve"> 化学发光</w:t>
            </w:r>
            <w:r w:rsidRPr="005372F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免疫</w:t>
            </w:r>
            <w:r w:rsidRPr="005372F6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分析仪</w:t>
            </w:r>
            <w:r w:rsidRPr="005372F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租赁</w:t>
            </w:r>
          </w:p>
          <w:p w:rsidR="00B359B8" w:rsidRPr="005372F6" w:rsidRDefault="00B359B8" w:rsidP="00D83F46">
            <w:pPr>
              <w:spacing w:line="276" w:lineRule="auto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372F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目前</w:t>
            </w:r>
            <w:r w:rsidRPr="005372F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骨代谢项目医疗收费276元）</w:t>
            </w:r>
          </w:p>
        </w:tc>
        <w:tc>
          <w:tcPr>
            <w:tcW w:w="2566" w:type="pct"/>
            <w:vAlign w:val="center"/>
          </w:tcPr>
          <w:p w:rsidR="00B359B8" w:rsidRPr="005372F6" w:rsidRDefault="00B359B8" w:rsidP="00D83F46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5372F6">
              <w:rPr>
                <w:rFonts w:asciiTheme="minorEastAsia" w:hAnsiTheme="minorEastAsia" w:cs="宋体" w:hint="eastAsia"/>
                <w:b/>
                <w:color w:val="000000" w:themeColor="text1"/>
                <w:sz w:val="21"/>
                <w:szCs w:val="21"/>
              </w:rPr>
              <w:t>一、检测方法：</w:t>
            </w:r>
          </w:p>
          <w:p w:rsidR="00B359B8" w:rsidRPr="005372F6" w:rsidRDefault="00B359B8" w:rsidP="00D83F46">
            <w:pPr>
              <w:adjustRightInd w:val="0"/>
              <w:snapToGrid w:val="0"/>
              <w:ind w:firstLineChars="200" w:firstLine="420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检测方法为化学发光免疫法或酶联免疫法</w:t>
            </w:r>
            <w:r w:rsidRPr="005372F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:rsidR="00B359B8" w:rsidRPr="005372F6" w:rsidRDefault="00B359B8" w:rsidP="00D83F46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5372F6">
              <w:rPr>
                <w:rFonts w:asciiTheme="minorEastAsia" w:hAnsiTheme="minorEastAsia" w:cs="宋体" w:hint="eastAsia"/>
                <w:b/>
                <w:color w:val="000000" w:themeColor="text1"/>
                <w:sz w:val="21"/>
                <w:szCs w:val="21"/>
              </w:rPr>
              <w:t>二、检测要求：</w:t>
            </w:r>
          </w:p>
          <w:p w:rsidR="00B359B8" w:rsidRPr="005372F6" w:rsidRDefault="00B359B8" w:rsidP="00D83F4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*1</w:t>
            </w:r>
            <w:r w:rsidRPr="005372F6">
              <w:rPr>
                <w:rFonts w:asciiTheme="minorEastAsia" w:hAnsiTheme="minorEastAsia"/>
                <w:sz w:val="21"/>
                <w:szCs w:val="21"/>
              </w:rPr>
              <w:t>.试剂盒有校准品</w:t>
            </w: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 w:rsidRPr="005372F6">
              <w:rPr>
                <w:rFonts w:asciiTheme="minorEastAsia" w:hAnsiTheme="minorEastAsia"/>
                <w:sz w:val="21"/>
                <w:szCs w:val="21"/>
              </w:rPr>
              <w:t>可</w:t>
            </w: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2点或6点校准。</w:t>
            </w:r>
          </w:p>
          <w:p w:rsidR="00B359B8" w:rsidRPr="005372F6" w:rsidRDefault="00B359B8" w:rsidP="00D83F4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*</w:t>
            </w:r>
            <w:r w:rsidRPr="005372F6">
              <w:rPr>
                <w:rFonts w:asciiTheme="minorEastAsia" w:hAnsiTheme="minorEastAsia"/>
                <w:sz w:val="21"/>
                <w:szCs w:val="21"/>
              </w:rPr>
              <w:t>2.试剂盒</w:t>
            </w: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有质控品。</w:t>
            </w:r>
          </w:p>
          <w:p w:rsidR="00B359B8" w:rsidRPr="005372F6" w:rsidRDefault="00B359B8" w:rsidP="00D83F4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 w:rsidRPr="005372F6">
              <w:rPr>
                <w:rFonts w:asciiTheme="minorEastAsia" w:hAnsiTheme="minorEastAsia"/>
                <w:sz w:val="21"/>
                <w:szCs w:val="21"/>
              </w:rPr>
              <w:t>.</w:t>
            </w: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总不精密度</w:t>
            </w:r>
            <w:r w:rsidRPr="005372F6">
              <w:rPr>
                <w:rFonts w:asciiTheme="minorEastAsia" w:hAnsiTheme="minorEastAsia"/>
                <w:sz w:val="21"/>
                <w:szCs w:val="21"/>
              </w:rPr>
              <w:t>CV</w:t>
            </w: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≤</w:t>
            </w:r>
            <w:r w:rsidRPr="005372F6">
              <w:rPr>
                <w:rFonts w:asciiTheme="minorEastAsia" w:hAnsiTheme="minorEastAsia"/>
                <w:sz w:val="21"/>
                <w:szCs w:val="21"/>
              </w:rPr>
              <w:t>15%</w:t>
            </w: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  <w:p w:rsidR="00B359B8" w:rsidRPr="005372F6" w:rsidRDefault="00B359B8" w:rsidP="00D83F4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4.试剂有效期≥6个月。</w:t>
            </w:r>
          </w:p>
          <w:p w:rsidR="00B359B8" w:rsidRPr="005372F6" w:rsidRDefault="00B359B8" w:rsidP="00D83F46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5372F6">
              <w:rPr>
                <w:rFonts w:asciiTheme="minorEastAsia" w:hAnsiTheme="minorEastAsia" w:cs="宋体" w:hint="eastAsia"/>
                <w:b/>
                <w:color w:val="000000" w:themeColor="text1"/>
                <w:sz w:val="21"/>
                <w:szCs w:val="21"/>
              </w:rPr>
              <w:t>三、技术要求：</w:t>
            </w:r>
          </w:p>
          <w:p w:rsidR="00B359B8" w:rsidRPr="005372F6" w:rsidRDefault="00B359B8" w:rsidP="00D83F46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每年试剂批号不大于3个。</w:t>
            </w:r>
          </w:p>
          <w:p w:rsidR="00B359B8" w:rsidRPr="005372F6" w:rsidRDefault="00B359B8" w:rsidP="00D83F46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5372F6">
              <w:rPr>
                <w:rFonts w:asciiTheme="minorEastAsia" w:hAnsiTheme="minorEastAsia" w:cs="宋体" w:hint="eastAsia"/>
                <w:b/>
                <w:color w:val="000000" w:themeColor="text1"/>
                <w:sz w:val="21"/>
                <w:szCs w:val="21"/>
              </w:rPr>
              <w:t>四、服务要求：</w:t>
            </w:r>
          </w:p>
          <w:p w:rsidR="00B359B8" w:rsidRPr="005372F6" w:rsidRDefault="00B359B8" w:rsidP="00D83F46">
            <w:pPr>
              <w:adjustRightInd w:val="0"/>
              <w:snapToGrid w:val="0"/>
              <w:ind w:firstLineChars="200" w:firstLine="420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372F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具有完善的销售供应和售后服务的保障体系。</w:t>
            </w:r>
          </w:p>
          <w:p w:rsidR="00B359B8" w:rsidRPr="005372F6" w:rsidRDefault="00B359B8" w:rsidP="00D83F46">
            <w:pPr>
              <w:adjustRightInd w:val="0"/>
              <w:snapToGrid w:val="0"/>
              <w:rPr>
                <w:rFonts w:asciiTheme="minorEastAsia" w:hAnsiTheme="minorEastAsia" w:cs="宋体"/>
                <w:b/>
                <w:color w:val="000000" w:themeColor="text1"/>
                <w:sz w:val="21"/>
                <w:szCs w:val="21"/>
              </w:rPr>
            </w:pPr>
            <w:r w:rsidRPr="005372F6">
              <w:rPr>
                <w:rFonts w:asciiTheme="minorEastAsia" w:hAnsiTheme="minorEastAsia" w:cs="宋体" w:hint="eastAsia"/>
                <w:b/>
                <w:color w:val="000000" w:themeColor="text1"/>
                <w:sz w:val="21"/>
                <w:szCs w:val="21"/>
              </w:rPr>
              <w:t>五、租赁仪器要求：</w:t>
            </w:r>
          </w:p>
          <w:p w:rsidR="00B359B8" w:rsidRPr="005372F6" w:rsidRDefault="00B359B8" w:rsidP="00D83F46">
            <w:pPr>
              <w:adjustRightInd w:val="0"/>
              <w:snapToGrid w:val="0"/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若检测方法为化学发光免疫法，需提供</w:t>
            </w:r>
            <w:r w:rsidRPr="005372F6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一台化学发光</w:t>
            </w:r>
            <w:r w:rsidRPr="005372F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免疫</w:t>
            </w:r>
            <w:r w:rsidRPr="005372F6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分析仪</w:t>
            </w:r>
            <w:r w:rsidRPr="005372F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，单模块检测速度</w:t>
            </w: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≥200测试/小时；若检测方法为酶联免疫法，产品需适用于艾德康（Addcare）酶免分析仪检测。</w:t>
            </w:r>
            <w:r w:rsidRPr="005372F6">
              <w:rPr>
                <w:rFonts w:asciiTheme="minorEastAsia" w:hAnsiTheme="minorEastAsia" w:cs="宋体"/>
                <w:color w:val="000000" w:themeColor="text1"/>
                <w:sz w:val="21"/>
                <w:szCs w:val="21"/>
              </w:rPr>
              <w:t>提供</w:t>
            </w:r>
            <w:r w:rsidRPr="005372F6">
              <w:rPr>
                <w:rFonts w:asciiTheme="minorEastAsia" w:hAnsiTheme="minorEastAsia" w:cs="宋体" w:hint="eastAsia"/>
                <w:color w:val="000000" w:themeColor="text1"/>
                <w:sz w:val="21"/>
                <w:szCs w:val="21"/>
              </w:rPr>
              <w:t>LIS电脑及其它必要仪器的租赁服务（包括LIS联机费用等）。</w:t>
            </w:r>
          </w:p>
        </w:tc>
      </w:tr>
      <w:tr w:rsidR="00B359B8" w:rsidRPr="0026389F" w:rsidTr="00B359B8">
        <w:trPr>
          <w:trHeight w:val="3274"/>
          <w:tblHeader/>
          <w:jc w:val="center"/>
        </w:trPr>
        <w:tc>
          <w:tcPr>
            <w:tcW w:w="570" w:type="pct"/>
            <w:vAlign w:val="center"/>
          </w:tcPr>
          <w:p w:rsidR="00B359B8" w:rsidRPr="005372F6" w:rsidRDefault="00B359B8" w:rsidP="00D83F46">
            <w:pPr>
              <w:jc w:val="center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SJ-202156</w:t>
            </w:r>
          </w:p>
        </w:tc>
        <w:tc>
          <w:tcPr>
            <w:tcW w:w="521" w:type="pct"/>
            <w:vAlign w:val="center"/>
          </w:tcPr>
          <w:p w:rsidR="00B359B8" w:rsidRPr="005372F6" w:rsidRDefault="00B359B8" w:rsidP="00D83F4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372F6">
              <w:rPr>
                <w:rFonts w:asciiTheme="minorEastAsia" w:hAnsiTheme="minorEastAsia" w:cs="楷体" w:hint="eastAsia"/>
                <w:color w:val="333333"/>
                <w:sz w:val="21"/>
                <w:szCs w:val="21"/>
              </w:rPr>
              <w:t>Rh血型5分型检测试剂</w:t>
            </w:r>
            <w:r w:rsidRPr="005372F6"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及相关设备租赁</w:t>
            </w:r>
          </w:p>
        </w:tc>
        <w:tc>
          <w:tcPr>
            <w:tcW w:w="1343" w:type="pct"/>
            <w:vAlign w:val="center"/>
          </w:tcPr>
          <w:p w:rsidR="00B359B8" w:rsidRDefault="00B359B8" w:rsidP="00D83F46">
            <w:pPr>
              <w:jc w:val="left"/>
              <w:rPr>
                <w:rFonts w:asciiTheme="minorEastAsia" w:hAnsiTheme="minorEastAsia" w:cs="楷体" w:hint="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楷体" w:hint="eastAsia"/>
                <w:color w:val="333333"/>
                <w:sz w:val="21"/>
                <w:szCs w:val="21"/>
              </w:rPr>
              <w:t>1.</w:t>
            </w:r>
            <w:r w:rsidRPr="005372F6">
              <w:rPr>
                <w:rFonts w:asciiTheme="minorEastAsia" w:hAnsiTheme="minorEastAsia" w:cs="楷体" w:hint="eastAsia"/>
                <w:color w:val="333333"/>
                <w:sz w:val="21"/>
                <w:szCs w:val="21"/>
              </w:rPr>
              <w:t>Rh血型分型检测卡</w:t>
            </w:r>
          </w:p>
          <w:p w:rsidR="00B359B8" w:rsidRPr="005372F6" w:rsidRDefault="00B359B8" w:rsidP="00D83F46">
            <w:pPr>
              <w:jc w:val="left"/>
              <w:rPr>
                <w:rFonts w:asciiTheme="minorEastAsia" w:hAnsiTheme="minorEastAsia" w:cs="楷体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cs="楷体" w:hint="eastAsia"/>
                <w:color w:val="333333"/>
                <w:sz w:val="21"/>
                <w:szCs w:val="21"/>
              </w:rPr>
              <w:t>2.相关设备租赁</w:t>
            </w:r>
          </w:p>
          <w:p w:rsidR="00B359B8" w:rsidRPr="005372F6" w:rsidRDefault="00B359B8" w:rsidP="00D83F46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5372F6">
              <w:rPr>
                <w:rFonts w:asciiTheme="minorEastAsia" w:hAnsiTheme="minorEastAsia" w:cs="楷体" w:hint="eastAsia"/>
                <w:color w:val="333333"/>
                <w:sz w:val="21"/>
                <w:szCs w:val="21"/>
              </w:rPr>
              <w:t>（</w:t>
            </w:r>
            <w:r>
              <w:rPr>
                <w:rFonts w:asciiTheme="minorEastAsia" w:hAnsiTheme="minorEastAsia" w:cs="楷体" w:hint="eastAsia"/>
                <w:color w:val="333333"/>
                <w:sz w:val="21"/>
                <w:szCs w:val="21"/>
              </w:rPr>
              <w:t>目前</w:t>
            </w:r>
            <w:r w:rsidRPr="005372F6">
              <w:rPr>
                <w:rFonts w:asciiTheme="minorEastAsia" w:hAnsiTheme="minorEastAsia" w:cs="楷体" w:hint="eastAsia"/>
                <w:color w:val="333333"/>
                <w:sz w:val="21"/>
                <w:szCs w:val="21"/>
              </w:rPr>
              <w:t>Rh血型分型项目医疗收费60元）</w:t>
            </w:r>
          </w:p>
        </w:tc>
        <w:tc>
          <w:tcPr>
            <w:tcW w:w="2566" w:type="pct"/>
            <w:vAlign w:val="center"/>
          </w:tcPr>
          <w:p w:rsidR="00B359B8" w:rsidRPr="005372F6" w:rsidRDefault="00B359B8" w:rsidP="00D83F46">
            <w:pPr>
              <w:rPr>
                <w:rFonts w:asciiTheme="minorEastAsia" w:hAnsiTheme="minorEastAsia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1.采用抗凝血检测</w:t>
            </w:r>
            <w:r w:rsidR="00336263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</w:p>
          <w:p w:rsidR="00B359B8" w:rsidRPr="005372F6" w:rsidRDefault="00B359B8" w:rsidP="00D83F46">
            <w:pPr>
              <w:rPr>
                <w:rFonts w:asciiTheme="minorEastAsia" w:hAnsiTheme="minorEastAsia" w:cs="楷体"/>
                <w:sz w:val="21"/>
                <w:szCs w:val="21"/>
              </w:rPr>
            </w:pP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2.使用微柱凝胶法，可检测</w:t>
            </w:r>
            <w:r w:rsidRPr="005372F6">
              <w:rPr>
                <w:rFonts w:asciiTheme="minorEastAsia" w:hAnsiTheme="minorEastAsia" w:cs="楷体" w:hint="eastAsia"/>
                <w:sz w:val="21"/>
                <w:szCs w:val="21"/>
              </w:rPr>
              <w:t>Rh血型系统的C\c\D\E\e的5种抗原</w:t>
            </w:r>
            <w:r w:rsidR="00336263">
              <w:rPr>
                <w:rFonts w:asciiTheme="minorEastAsia" w:hAnsiTheme="minorEastAsia" w:cs="楷体" w:hint="eastAsia"/>
                <w:sz w:val="21"/>
                <w:szCs w:val="21"/>
              </w:rPr>
              <w:t>。</w:t>
            </w:r>
          </w:p>
          <w:p w:rsidR="00B359B8" w:rsidRPr="005372F6" w:rsidRDefault="00B359B8" w:rsidP="00D83F46">
            <w:pPr>
              <w:rPr>
                <w:rFonts w:asciiTheme="minorEastAsia" w:hAnsiTheme="minorEastAsia" w:cs="楷体"/>
                <w:sz w:val="21"/>
                <w:szCs w:val="21"/>
              </w:rPr>
            </w:pPr>
            <w:r w:rsidRPr="005372F6">
              <w:rPr>
                <w:rFonts w:asciiTheme="minorEastAsia" w:hAnsiTheme="minorEastAsia" w:cs="楷体"/>
                <w:sz w:val="21"/>
                <w:szCs w:val="21"/>
              </w:rPr>
              <w:t>3.</w:t>
            </w:r>
            <w:r w:rsidRPr="005372F6">
              <w:rPr>
                <w:rFonts w:asciiTheme="minorEastAsia" w:hAnsiTheme="minorEastAsia" w:cs="楷体" w:hint="eastAsia"/>
                <w:sz w:val="21"/>
                <w:szCs w:val="21"/>
              </w:rPr>
              <w:t>分</w:t>
            </w:r>
            <w:r w:rsidRPr="005372F6">
              <w:rPr>
                <w:rFonts w:asciiTheme="minorEastAsia" w:hAnsiTheme="minorEastAsia" w:cs="楷体"/>
                <w:sz w:val="21"/>
                <w:szCs w:val="21"/>
              </w:rPr>
              <w:t>型</w:t>
            </w:r>
            <w:r w:rsidRPr="005372F6">
              <w:rPr>
                <w:rFonts w:asciiTheme="minorEastAsia" w:hAnsiTheme="minorEastAsia" w:cs="楷体" w:hint="eastAsia"/>
                <w:sz w:val="21"/>
                <w:szCs w:val="21"/>
              </w:rPr>
              <w:t>卡上需包含阴性对照孔</w:t>
            </w:r>
            <w:r w:rsidR="00336263">
              <w:rPr>
                <w:rFonts w:asciiTheme="minorEastAsia" w:hAnsiTheme="minorEastAsia" w:cs="楷体" w:hint="eastAsia"/>
                <w:sz w:val="21"/>
                <w:szCs w:val="21"/>
              </w:rPr>
              <w:t>。</w:t>
            </w:r>
          </w:p>
          <w:p w:rsidR="00B359B8" w:rsidRPr="005372F6" w:rsidRDefault="00B359B8" w:rsidP="00D83F46">
            <w:pPr>
              <w:rPr>
                <w:rFonts w:asciiTheme="minorEastAsia" w:hAnsiTheme="minorEastAsia"/>
                <w:sz w:val="21"/>
                <w:szCs w:val="21"/>
              </w:rPr>
            </w:pPr>
            <w:r w:rsidRPr="005372F6">
              <w:rPr>
                <w:rFonts w:asciiTheme="minorEastAsia" w:hAnsiTheme="minorEastAsia" w:cs="楷体"/>
                <w:sz w:val="21"/>
                <w:szCs w:val="21"/>
              </w:rPr>
              <w:t>4.</w:t>
            </w:r>
            <w:r w:rsidRPr="005372F6">
              <w:rPr>
                <w:rFonts w:asciiTheme="minorEastAsia" w:hAnsiTheme="minorEastAsia" w:cs="楷体" w:hint="eastAsia"/>
                <w:sz w:val="21"/>
                <w:szCs w:val="21"/>
              </w:rPr>
              <w:t>检测卡适用与医院现有仪器（</w:t>
            </w:r>
            <w:r w:rsidRPr="005372F6">
              <w:rPr>
                <w:rFonts w:asciiTheme="minorEastAsia" w:hAnsiTheme="minorEastAsia" w:cs="宋体" w:hint="eastAsia"/>
                <w:sz w:val="21"/>
                <w:szCs w:val="21"/>
              </w:rPr>
              <w:t>血型分析仪伯乐IH-1000或</w:t>
            </w:r>
            <w:r w:rsidRPr="005372F6">
              <w:rPr>
                <w:rFonts w:asciiTheme="minorEastAsia" w:hAnsiTheme="minorEastAsia" w:hint="eastAsia"/>
                <w:sz w:val="21"/>
                <w:szCs w:val="21"/>
              </w:rPr>
              <w:t>无锡源博YBXK-4A</w:t>
            </w:r>
            <w:r w:rsidRPr="005372F6">
              <w:rPr>
                <w:rFonts w:asciiTheme="minorEastAsia" w:hAnsiTheme="minorEastAsia" w:cs="楷体" w:hint="eastAsia"/>
                <w:sz w:val="21"/>
                <w:szCs w:val="21"/>
              </w:rPr>
              <w:t>），可利于优化</w:t>
            </w:r>
            <w:r w:rsidRPr="005372F6">
              <w:rPr>
                <w:rFonts w:asciiTheme="minorEastAsia" w:hAnsiTheme="minorEastAsia" w:cs="楷体"/>
                <w:sz w:val="21"/>
                <w:szCs w:val="21"/>
              </w:rPr>
              <w:t>工作</w:t>
            </w:r>
            <w:r w:rsidRPr="005372F6">
              <w:rPr>
                <w:rFonts w:asciiTheme="minorEastAsia" w:hAnsiTheme="minorEastAsia" w:cs="楷体" w:hint="eastAsia"/>
                <w:sz w:val="21"/>
                <w:szCs w:val="21"/>
              </w:rPr>
              <w:t>流程。如不适用，提供仪器租赁服务。仪器要求：配套的R</w:t>
            </w:r>
            <w:r w:rsidRPr="005372F6">
              <w:rPr>
                <w:rFonts w:asciiTheme="minorEastAsia" w:hAnsiTheme="minorEastAsia" w:cs="楷体"/>
                <w:sz w:val="21"/>
                <w:szCs w:val="21"/>
              </w:rPr>
              <w:t>h</w:t>
            </w:r>
            <w:r w:rsidRPr="005372F6">
              <w:rPr>
                <w:rFonts w:asciiTheme="minorEastAsia" w:hAnsiTheme="minorEastAsia" w:cs="楷体" w:hint="eastAsia"/>
                <w:sz w:val="21"/>
                <w:szCs w:val="21"/>
              </w:rPr>
              <w:t>血型分型检测仪检测速度不低于700测试/小时，采用一次性加样吸头吸加样;其操作系统能与我院杏禾软件实现数据互通</w:t>
            </w:r>
            <w:r w:rsidRPr="005372F6">
              <w:rPr>
                <w:rFonts w:asciiTheme="minorEastAsia" w:hAnsiTheme="minorEastAsia" w:cs="楷体"/>
                <w:sz w:val="21"/>
                <w:szCs w:val="21"/>
              </w:rPr>
              <w:t>。</w:t>
            </w:r>
          </w:p>
        </w:tc>
      </w:tr>
    </w:tbl>
    <w:p w:rsidR="00940559" w:rsidRPr="00323B77" w:rsidRDefault="00940559" w:rsidP="00323B77"/>
    <w:sectPr w:rsidR="00940559" w:rsidRPr="00323B77" w:rsidSect="00FB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F2" w:rsidRDefault="000804F2" w:rsidP="000A54E6">
      <w:r>
        <w:separator/>
      </w:r>
    </w:p>
  </w:endnote>
  <w:endnote w:type="continuationSeparator" w:id="1">
    <w:p w:rsidR="000804F2" w:rsidRDefault="000804F2" w:rsidP="000A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F2" w:rsidRDefault="000804F2" w:rsidP="000A54E6">
      <w:r>
        <w:separator/>
      </w:r>
    </w:p>
  </w:footnote>
  <w:footnote w:type="continuationSeparator" w:id="1">
    <w:p w:rsidR="000804F2" w:rsidRDefault="000804F2" w:rsidP="000A5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F8F355"/>
    <w:multiLevelType w:val="singleLevel"/>
    <w:tmpl w:val="B2F8F355"/>
    <w:lvl w:ilvl="0">
      <w:start w:val="1"/>
      <w:numFmt w:val="decimal"/>
      <w:suff w:val="space"/>
      <w:lvlText w:val="%1."/>
      <w:lvlJc w:val="left"/>
    </w:lvl>
  </w:abstractNum>
  <w:abstractNum w:abstractNumId="1">
    <w:nsid w:val="F85A90C9"/>
    <w:multiLevelType w:val="singleLevel"/>
    <w:tmpl w:val="F85A90C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6E3FAE"/>
    <w:multiLevelType w:val="hybridMultilevel"/>
    <w:tmpl w:val="E49A62A0"/>
    <w:lvl w:ilvl="0" w:tplc="292A88B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93761D"/>
    <w:multiLevelType w:val="hybridMultilevel"/>
    <w:tmpl w:val="754090E6"/>
    <w:lvl w:ilvl="0" w:tplc="F0E04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CA11AD"/>
    <w:multiLevelType w:val="multilevel"/>
    <w:tmpl w:val="15CA11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BD065F"/>
    <w:multiLevelType w:val="hybridMultilevel"/>
    <w:tmpl w:val="AAB69BB2"/>
    <w:lvl w:ilvl="0" w:tplc="977CE0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AD5F8A"/>
    <w:multiLevelType w:val="hybridMultilevel"/>
    <w:tmpl w:val="CE226380"/>
    <w:lvl w:ilvl="0" w:tplc="8CCA8BC6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4066B1"/>
    <w:multiLevelType w:val="hybridMultilevel"/>
    <w:tmpl w:val="1F3A75A6"/>
    <w:lvl w:ilvl="0" w:tplc="4994437A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680186"/>
    <w:multiLevelType w:val="hybridMultilevel"/>
    <w:tmpl w:val="269C9ABE"/>
    <w:lvl w:ilvl="0" w:tplc="2F4E3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B6154F9"/>
    <w:multiLevelType w:val="multilevel"/>
    <w:tmpl w:val="5B6154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E6"/>
    <w:rsid w:val="000303B0"/>
    <w:rsid w:val="0007139F"/>
    <w:rsid w:val="000804F2"/>
    <w:rsid w:val="000864B2"/>
    <w:rsid w:val="000A54E6"/>
    <w:rsid w:val="000D79A7"/>
    <w:rsid w:val="00145F7F"/>
    <w:rsid w:val="00157372"/>
    <w:rsid w:val="001B7BA3"/>
    <w:rsid w:val="002C75A0"/>
    <w:rsid w:val="00302C4E"/>
    <w:rsid w:val="00323B77"/>
    <w:rsid w:val="00336263"/>
    <w:rsid w:val="003C5E9A"/>
    <w:rsid w:val="003E4B92"/>
    <w:rsid w:val="00414FF0"/>
    <w:rsid w:val="00451463"/>
    <w:rsid w:val="004D7D02"/>
    <w:rsid w:val="004E76AF"/>
    <w:rsid w:val="00515892"/>
    <w:rsid w:val="0056717A"/>
    <w:rsid w:val="005B3F14"/>
    <w:rsid w:val="005E1EBC"/>
    <w:rsid w:val="0063334D"/>
    <w:rsid w:val="00641D73"/>
    <w:rsid w:val="006510C5"/>
    <w:rsid w:val="006A7CD2"/>
    <w:rsid w:val="006F3BE3"/>
    <w:rsid w:val="00703F8B"/>
    <w:rsid w:val="007414E1"/>
    <w:rsid w:val="00771AAF"/>
    <w:rsid w:val="007B67D4"/>
    <w:rsid w:val="00806CAC"/>
    <w:rsid w:val="008531EC"/>
    <w:rsid w:val="008A2F4A"/>
    <w:rsid w:val="00940559"/>
    <w:rsid w:val="009F5CDC"/>
    <w:rsid w:val="00A31545"/>
    <w:rsid w:val="00A52C5F"/>
    <w:rsid w:val="00B229C6"/>
    <w:rsid w:val="00B359B8"/>
    <w:rsid w:val="00B81C86"/>
    <w:rsid w:val="00BD1BA2"/>
    <w:rsid w:val="00BF368A"/>
    <w:rsid w:val="00C10818"/>
    <w:rsid w:val="00C17A2D"/>
    <w:rsid w:val="00C333C2"/>
    <w:rsid w:val="00C66788"/>
    <w:rsid w:val="00CA4E55"/>
    <w:rsid w:val="00E645D7"/>
    <w:rsid w:val="00E73292"/>
    <w:rsid w:val="00EC6C5E"/>
    <w:rsid w:val="00ED1647"/>
    <w:rsid w:val="00F14D33"/>
    <w:rsid w:val="00F20179"/>
    <w:rsid w:val="00F34316"/>
    <w:rsid w:val="00F65F02"/>
    <w:rsid w:val="00FB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4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54E6"/>
    <w:rPr>
      <w:sz w:val="18"/>
      <w:szCs w:val="18"/>
    </w:rPr>
  </w:style>
  <w:style w:type="table" w:styleId="a5">
    <w:name w:val="Table Grid"/>
    <w:basedOn w:val="a1"/>
    <w:uiPriority w:val="59"/>
    <w:qFormat/>
    <w:rsid w:val="000A54E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1545"/>
    <w:pPr>
      <w:ind w:firstLineChars="200" w:firstLine="420"/>
    </w:pPr>
  </w:style>
  <w:style w:type="paragraph" w:customStyle="1" w:styleId="a7">
    <w:basedOn w:val="a"/>
    <w:next w:val="a6"/>
    <w:uiPriority w:val="34"/>
    <w:qFormat/>
    <w:rsid w:val="0015737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D568-D984-4232-863F-EAB89452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2021-02-03T01:47:00Z</dcterms:created>
  <dcterms:modified xsi:type="dcterms:W3CDTF">2021-10-27T06:29:00Z</dcterms:modified>
</cp:coreProperties>
</file>