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333333"/>
          <w:sz w:val="18"/>
          <w:szCs w:val="18"/>
        </w:rPr>
      </w:pPr>
      <w:r>
        <w:rPr>
          <w:rFonts w:hint="eastAsia" w:asciiTheme="minorEastAsia" w:hAnsiTheme="minorEastAsia"/>
          <w:color w:val="333333"/>
          <w:sz w:val="18"/>
          <w:szCs w:val="18"/>
        </w:rPr>
        <w:t>附件一：检测试剂和设备相关参数要求；</w:t>
      </w:r>
    </w:p>
    <w:p>
      <w:pPr>
        <w:tabs>
          <w:tab w:val="left" w:pos="2642"/>
        </w:tabs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一、总体要求：</w:t>
      </w:r>
      <w:r>
        <w:rPr>
          <w:rFonts w:asciiTheme="minorEastAsia" w:hAnsiTheme="minorEastAsia"/>
          <w:sz w:val="18"/>
          <w:szCs w:val="18"/>
        </w:rPr>
        <w:tab/>
      </w:r>
    </w:p>
    <w:p>
      <w:pPr>
        <w:ind w:left="360" w:hanging="360" w:hangingChars="200"/>
        <w:rPr>
          <w:color w:val="000000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．所供试剂具有完善的销售供应和售后服务的保障体系，货源充足，供货及时，冷链运输，具有24小时内加急供货的应急能力。</w:t>
      </w:r>
    </w:p>
    <w:p>
      <w:pPr>
        <w:ind w:left="360" w:hanging="360" w:hanging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2．所供试剂参数和设备符合临床使用需求，免费升级软硬件，必要时增加仪器的配置和数量，以适应临床需要。</w:t>
      </w:r>
    </w:p>
    <w:p>
      <w:pPr>
        <w:ind w:left="360" w:hanging="360" w:hanging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3．试剂和设备运输、安装至正常使用所产生的一切费用由供应商承担。</w:t>
      </w:r>
    </w:p>
    <w:p>
      <w:pPr>
        <w:ind w:left="360" w:hanging="360" w:hanging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4．试剂必须在浙江省药械平台中标或有阳光采购代码；若无产品代码，中标产品须在6个月内提供相应产品代码。</w:t>
      </w:r>
    </w:p>
    <w:p>
      <w:pPr>
        <w:ind w:left="360" w:hanging="360" w:hanging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5．提供设备联网数据接口类型及协议，并协助完成设备与医院网络的互联互通，相关费用由设备供应商承担（如有）。</w:t>
      </w:r>
    </w:p>
    <w:p>
      <w:pPr>
        <w:ind w:left="360" w:hanging="360" w:hanging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6．提供设备首次质检、调试、计量</w:t>
      </w:r>
      <w:bookmarkStart w:id="0" w:name="_GoBack"/>
      <w:bookmarkEnd w:id="0"/>
      <w:r>
        <w:rPr>
          <w:rFonts w:hint="eastAsia"/>
          <w:color w:val="000000"/>
          <w:sz w:val="18"/>
          <w:szCs w:val="18"/>
        </w:rPr>
        <w:t>等工作（如需）。</w:t>
      </w:r>
    </w:p>
    <w:p>
      <w:pPr>
        <w:ind w:left="360" w:hanging="360" w:hanging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7．设备维修及时（≤1.5小时响应），合同期内提供日常维修（故障部件及时免费更换）和每年设备校准服务，并出具正规校准报告。</w:t>
      </w:r>
    </w:p>
    <w:p>
      <w:pPr>
        <w:ind w:left="360" w:hanging="360" w:hanging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8．对于生化流水线，还需提供流水线及检测仪器的月保养和年度保养服务。</w:t>
      </w:r>
    </w:p>
    <w:p>
      <w:pPr>
        <w:ind w:left="360" w:hanging="360" w:hanging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9．提供的产品和设备必须具有医疗器械注册证或证明文件。</w:t>
      </w:r>
    </w:p>
    <w:p>
      <w:pPr>
        <w:ind w:left="360" w:hanging="360" w:hanging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10．完成投标项目所需全部的主试剂、辅助试剂或耗品（包括清洗液、缓冲液、校准品、质控品、底物、反应试管等）的商品名、规格、货号及价格等由应标方详细列出，未在列的辅助试剂或耗品视作免费提供。</w:t>
      </w:r>
    </w:p>
    <w:p>
      <w:pPr>
        <w:ind w:left="360" w:hanging="360" w:hanging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11．主试剂必须单个测试报价，单个测试报价包括完成一个测试所需的主试剂、配套试剂和各种质控品以及完成测试所需的所有耗材。</w:t>
      </w:r>
    </w:p>
    <w:p>
      <w:pPr>
        <w:ind w:left="360" w:hanging="360" w:hanging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12．合同执行过程中，试剂或耗材每包装的采购价格以医院实际使用为准，如发现采购价格高于实际测试价（单个测试承诺价*每包装实际测试数），要求调整到实际测试价；如发现试剂或耗材的采购价格高于浙江省阳光采购最低价，要求调整到最低价；如浙江省对试剂或耗材进行集中采购，则高于集中采购项目的价格必须下降到集中采购的价格。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二、具体项目参数</w:t>
      </w:r>
    </w:p>
    <w:tbl>
      <w:tblPr>
        <w:tblStyle w:val="5"/>
        <w:tblW w:w="996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77"/>
        <w:gridCol w:w="3725"/>
        <w:gridCol w:w="40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项目名称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具体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产品名称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产品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参数要求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滨江</w:t>
            </w:r>
            <w:r>
              <w:rPr>
                <w:rFonts w:asciiTheme="minorEastAsia" w:hAnsiTheme="minorEastAsia"/>
                <w:sz w:val="18"/>
                <w:szCs w:val="18"/>
              </w:rPr>
              <w:t>院区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生化试剂及相关设备租赁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电解质钾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、电解质钠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、电解质氯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、总蛋白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、白蛋白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、总胆红素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、直接胆红素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、丙氨酸氨基转移酶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、天门冬氨酸氨基转移酶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、胆碱酯酶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、γ-谷氨酰基转移酶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、碱性磷酸酶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腺苷脱氨酶、总胆汁酸、前白蛋白、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肌酐（酶法）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、尿素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、尿酸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胱抑素C、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乳酸脱氢酶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、肌酸激酶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、肌酸激酶-MB活性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、钙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、甘油三脂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、胆固醇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、淀粉酶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、脂肪酶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、铁蛋白（化学发光法）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、不饱和铁结合力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、抗链球菌溶血素O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、类风湿因子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脂蛋白a、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高密度脂蛋白胆固醇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、低密度脂蛋白胆固醇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、载脂蛋白A1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、载脂蛋白B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、葡萄糖（己糖激酶法）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、微量总蛋白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Theme="minorEastAsia" w:hAnsiTheme="minorEastAsia"/>
                <w:b/>
                <w:i/>
                <w:sz w:val="18"/>
                <w:szCs w:val="18"/>
              </w:rPr>
              <w:t>、总免疫球蛋白E（化学发光法）*</w:t>
            </w:r>
          </w:p>
        </w:tc>
        <w:tc>
          <w:tcPr>
            <w:tcW w:w="4000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一、适用范围：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用于生化流水线检测。</w:t>
            </w:r>
          </w:p>
          <w:p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二、检测要求：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1.生化流水线包括自动样本处理系统、全自动生化分析仪（含电解质分析模块）、全自动化学发光免疫分析仪。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生化流水线配置要求：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1）进样模块≥</w:t>
            </w:r>
            <w:r>
              <w:rPr>
                <w:rFonts w:asciiTheme="minorEastAsia" w:hAnsiTheme="minorEastAsia"/>
                <w:sz w:val="18"/>
                <w:szCs w:val="18"/>
              </w:rPr>
              <w:t>1台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2）离心模块≥1台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3）</w:t>
            </w:r>
            <w:r>
              <w:rPr>
                <w:rFonts w:asciiTheme="minorEastAsia" w:hAnsiTheme="minorEastAsia"/>
                <w:sz w:val="18"/>
                <w:szCs w:val="18"/>
              </w:rPr>
              <w:t>去盖模块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≥1台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4）生化分析系统总检测速度（不包括电解质）≥4000测试/小时；单个生化分析模块检测速度（不包括电解质）≥2000测试/小时；单电解质模块速度≥900测试/小时，钾钠氯电极寿命≥6个月。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5）全自动化学发光免疫分析仪检测速度≥170测试/小时；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6）加盖模块(或具相似功能模块)1台。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7）后处理存储系统：4℃存储环境，≥5000样本容量，存储在后处理冰箱中的样品管可以自动返回仪器进行检测，无需人工干预。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8）中间体控制软件:具备自动复检控制管理功能。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9）试剂盒配置条码≥30个项目可以在生化仪器上直接扫描使用。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3.提供两台水质及流量符合生化要求的水处理装置：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1）产水量要求：≥250L/h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2）产水水质要求：≥100M.cm，TOC&lt;20PPb</w:t>
            </w:r>
          </w:p>
          <w:p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三、质量控制要求：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 配套生化多项校准品、 血脂校准品、铁蛋白校准品及其他特定校准品具有溯源性，并能提供厂家官方文件(以上各校准品须与相应检测试剂为同一品牌)。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2.为确保质量稳定可靠，品牌市场占有率高，浙江省三甲医院有广泛应用（≥3家）。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3.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带*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试剂必须同一品牌，原装试剂优先。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四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有效期要求：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机上稳定时间不少于28天，到货试剂有效期不少于6个月。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765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湖滨</w:t>
            </w:r>
            <w:r>
              <w:rPr>
                <w:rFonts w:asciiTheme="minorEastAsia" w:hAnsiTheme="minorEastAsia"/>
                <w:sz w:val="18"/>
                <w:szCs w:val="18"/>
              </w:rPr>
              <w:t>院区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生化试剂及相关设备租赁</w:t>
            </w:r>
          </w:p>
        </w:tc>
        <w:tc>
          <w:tcPr>
            <w:tcW w:w="3725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1.钙检测 (能用于尿液标本检测)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2.谷丙转氨酶检测 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3.肌酐检测（酶法） 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4.脑脊液尿蛋白 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5.尿素/尿素氮检测 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葡萄糖检测（己糖激酶法）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7.脂肪酶检测 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8总淀粉酶检测</w:t>
            </w:r>
          </w:p>
        </w:tc>
        <w:tc>
          <w:tcPr>
            <w:tcW w:w="400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一．适用范围：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用于生化</w:t>
            </w:r>
            <w:r>
              <w:rPr>
                <w:rFonts w:asciiTheme="minorEastAsia" w:hAnsiTheme="minorEastAsia"/>
                <w:sz w:val="18"/>
                <w:szCs w:val="18"/>
              </w:rPr>
              <w:t>项目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的自动化检测</w:t>
            </w:r>
          </w:p>
          <w:p>
            <w:pPr>
              <w:pStyle w:val="9"/>
              <w:rPr>
                <w:rFonts w:asciiTheme="minorEastAsia" w:hAnsiTheme="minorEastAsia"/>
                <w:b/>
                <w:snapToGrid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napToGrid w:val="0"/>
                <w:sz w:val="18"/>
                <w:szCs w:val="18"/>
              </w:rPr>
              <w:t>二、检测要求：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napToGrid w:val="0"/>
                <w:sz w:val="18"/>
                <w:szCs w:val="18"/>
              </w:rPr>
              <w:t>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湿</w:t>
            </w:r>
            <w:r>
              <w:rPr>
                <w:rFonts w:asciiTheme="minorEastAsia" w:hAnsiTheme="minorEastAsia"/>
                <w:sz w:val="18"/>
                <w:szCs w:val="18"/>
              </w:rPr>
              <w:t>生化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采用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轨道</w:t>
            </w:r>
            <w:r>
              <w:rPr>
                <w:rFonts w:asciiTheme="minorEastAsia" w:hAnsiTheme="minorEastAsia"/>
                <w:sz w:val="18"/>
                <w:szCs w:val="18"/>
              </w:rPr>
              <w:t>进样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模块化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可拓展成生化流水线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使用原装</w:t>
            </w:r>
            <w:r>
              <w:rPr>
                <w:rFonts w:asciiTheme="minorEastAsia" w:hAnsiTheme="minorEastAsia"/>
                <w:sz w:val="18"/>
                <w:szCs w:val="18"/>
              </w:rPr>
              <w:t>试剂。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检测速度：&gt;1000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T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/h，出第一个结果的</w:t>
            </w:r>
            <w:r>
              <w:rPr>
                <w:rFonts w:asciiTheme="minorEastAsia" w:hAnsiTheme="minorEastAsia"/>
                <w:sz w:val="18"/>
                <w:szCs w:val="18"/>
              </w:rPr>
              <w:t>时间小于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20分钟。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3.提供一台水质及流量符合生化要求的水处理装置：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1）产水量要求：≥120L/h。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2）产水水质要求：≥100M.cm，TOC&lt;20PPb。</w:t>
            </w:r>
          </w:p>
          <w:p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三、质量控制要求：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1.配套生化多项校准品，及其他特定校准品具有溯源性，并能提供厂家官方文件(以上各校准品须与相应检测试剂为同一品牌)。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．为确保质量稳定可靠，品牌市场占有率高，浙江省三甲医院有广泛应用（≥3家）。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四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有效期要求：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机上稳定时间不少于28天，到货试剂有效期不少于6个月。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EFE"/>
    <w:rsid w:val="00027815"/>
    <w:rsid w:val="000D23DB"/>
    <w:rsid w:val="000D2852"/>
    <w:rsid w:val="001747DE"/>
    <w:rsid w:val="001F34AD"/>
    <w:rsid w:val="00272A87"/>
    <w:rsid w:val="002A7899"/>
    <w:rsid w:val="00387D10"/>
    <w:rsid w:val="003A61C8"/>
    <w:rsid w:val="003A7081"/>
    <w:rsid w:val="00413C6C"/>
    <w:rsid w:val="0057073C"/>
    <w:rsid w:val="005F4B31"/>
    <w:rsid w:val="005F5A33"/>
    <w:rsid w:val="006565B4"/>
    <w:rsid w:val="006B5D58"/>
    <w:rsid w:val="00733B07"/>
    <w:rsid w:val="00733B8A"/>
    <w:rsid w:val="00763F2A"/>
    <w:rsid w:val="007D2F26"/>
    <w:rsid w:val="00872E36"/>
    <w:rsid w:val="008D6EFE"/>
    <w:rsid w:val="00A7465C"/>
    <w:rsid w:val="00B2352C"/>
    <w:rsid w:val="00B46D81"/>
    <w:rsid w:val="00BC789C"/>
    <w:rsid w:val="00BE1497"/>
    <w:rsid w:val="00C21939"/>
    <w:rsid w:val="00C752CD"/>
    <w:rsid w:val="00CF03C9"/>
    <w:rsid w:val="00D07BD6"/>
    <w:rsid w:val="00E26C47"/>
    <w:rsid w:val="00F664D2"/>
    <w:rsid w:val="45D2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48354-D1CA-4936-9BA7-86E707831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319</Words>
  <Characters>1824</Characters>
  <Lines>15</Lines>
  <Paragraphs>4</Paragraphs>
  <TotalTime>171</TotalTime>
  <ScaleCrop>false</ScaleCrop>
  <LinksUpToDate>false</LinksUpToDate>
  <CharactersWithSpaces>2139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2020-04-03T00:22:00Z</dcterms:created>
  <dc:creator>hp</dc:creator>
  <cp:lastModifiedBy>ASUS</cp:lastModifiedBy>
  <dcterms:modified xsi:type="dcterms:W3CDTF">2020-04-30T13:27:42Z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